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48E12">
      <w:pPr>
        <w:pStyle w:val="10"/>
        <w:rPr>
          <w:rFonts w:ascii="Times New Roman" w:hAnsi="Times New Roman" w:cs="Times New Roman"/>
          <w:w w:val="90"/>
        </w:rPr>
      </w:pPr>
    </w:p>
    <w:p w14:paraId="637AFD49">
      <w:pPr>
        <w:pStyle w:val="10"/>
        <w:rPr>
          <w:rFonts w:ascii="Times New Roman" w:hAnsi="Times New Roman" w:cs="Times New Roman"/>
          <w:w w:val="90"/>
        </w:rPr>
      </w:pPr>
    </w:p>
    <w:p w14:paraId="0053D4EE">
      <w:pPr>
        <w:jc w:val="center"/>
        <w:rPr>
          <w:rFonts w:ascii="Times New Roman" w:hAnsi="Times New Roman" w:cs="Times New Roman"/>
          <w:b/>
          <w:sz w:val="48"/>
          <w:szCs w:val="56"/>
        </w:rPr>
      </w:pPr>
      <w:bookmarkStart w:id="0" w:name="_Hlk172121772"/>
      <w:r>
        <w:rPr>
          <w:rFonts w:hint="eastAsia" w:ascii="Times New Roman" w:hAnsi="Times New Roman" w:cs="Times New Roman"/>
          <w:b/>
          <w:sz w:val="48"/>
          <w:szCs w:val="56"/>
        </w:rPr>
        <w:t>重新</w:t>
      </w:r>
      <w:r>
        <w:rPr>
          <w:rFonts w:ascii="Times New Roman" w:hAnsi="Times New Roman" w:cs="Times New Roman"/>
          <w:b/>
          <w:sz w:val="48"/>
          <w:szCs w:val="56"/>
        </w:rPr>
        <w:t>选聘新三板挂牌</w:t>
      </w:r>
      <w:r>
        <w:rPr>
          <w:rFonts w:ascii="Times New Roman" w:hAnsi="Times New Roman" w:cs="Times New Roman"/>
          <w:b/>
          <w:sz w:val="48"/>
          <w:szCs w:val="56"/>
        </w:rPr>
        <w:br w:type="textWrapping"/>
      </w:r>
      <w:r>
        <w:rPr>
          <w:rFonts w:ascii="Times New Roman" w:hAnsi="Times New Roman" w:cs="Times New Roman"/>
          <w:b/>
          <w:sz w:val="48"/>
          <w:szCs w:val="56"/>
        </w:rPr>
        <w:t>中介机构（会计师事务所）项目</w:t>
      </w:r>
    </w:p>
    <w:p w14:paraId="2B1C6828">
      <w:pPr>
        <w:jc w:val="center"/>
        <w:rPr>
          <w:rFonts w:ascii="Times New Roman" w:hAnsi="Times New Roman" w:cs="Times New Roman"/>
          <w:b/>
          <w:sz w:val="56"/>
          <w:szCs w:val="56"/>
        </w:rPr>
      </w:pPr>
    </w:p>
    <w:bookmarkEnd w:id="0"/>
    <w:p w14:paraId="4F04F261">
      <w:pPr>
        <w:jc w:val="center"/>
        <w:rPr>
          <w:rFonts w:hint="eastAsia" w:ascii="Times New Roman" w:hAnsi="Times New Roman" w:cs="Times New Roman"/>
          <w:b/>
          <w:sz w:val="48"/>
          <w:szCs w:val="56"/>
          <w:u w:val="single"/>
        </w:rPr>
      </w:pPr>
      <w:r>
        <w:rPr>
          <w:rFonts w:hint="eastAsia" w:ascii="Times New Roman" w:hAnsi="Times New Roman" w:cs="Times New Roman"/>
          <w:b/>
          <w:sz w:val="48"/>
          <w:szCs w:val="56"/>
          <w:u w:val="single"/>
        </w:rPr>
        <w:t>（简化版）</w:t>
      </w:r>
    </w:p>
    <w:p w14:paraId="2BDC5A8B">
      <w:pPr>
        <w:jc w:val="center"/>
        <w:rPr>
          <w:rFonts w:hint="default" w:ascii="Times New Roman" w:hAnsi="Times New Roman" w:cs="Times New Roman" w:eastAsiaTheme="minorEastAsia"/>
          <w:b/>
          <w:sz w:val="48"/>
          <w:szCs w:val="56"/>
          <w:u w:val="single"/>
          <w:lang w:val="en-US" w:eastAsia="zh-CN"/>
        </w:rPr>
      </w:pPr>
      <w:r>
        <w:rPr>
          <w:rFonts w:hint="eastAsia" w:ascii="Times New Roman" w:hAnsi="Times New Roman" w:cs="Times New Roman"/>
          <w:b/>
          <w:sz w:val="48"/>
          <w:szCs w:val="56"/>
          <w:u w:val="single"/>
          <w:lang w:val="en-US" w:eastAsia="zh-CN"/>
        </w:rPr>
        <w:t>招标文件完整版请联系招标人获取</w:t>
      </w:r>
    </w:p>
    <w:p w14:paraId="35A5E29E">
      <w:pPr>
        <w:jc w:val="center"/>
        <w:rPr>
          <w:rFonts w:ascii="Times New Roman" w:hAnsi="Times New Roman" w:cs="Times New Roman"/>
          <w:sz w:val="28"/>
          <w:szCs w:val="28"/>
        </w:rPr>
      </w:pPr>
      <w:bookmarkStart w:id="42" w:name="_GoBack"/>
      <w:bookmarkEnd w:id="42"/>
    </w:p>
    <w:p w14:paraId="4EDD1245">
      <w:pPr>
        <w:jc w:val="center"/>
        <w:rPr>
          <w:rFonts w:ascii="Times New Roman" w:hAnsi="Times New Roman" w:cs="Times New Roman"/>
          <w:sz w:val="28"/>
          <w:szCs w:val="28"/>
        </w:rPr>
      </w:pPr>
    </w:p>
    <w:p w14:paraId="1212B85C">
      <w:pPr>
        <w:pStyle w:val="58"/>
        <w:ind w:firstLine="480"/>
        <w:rPr>
          <w:rFonts w:ascii="Times New Roman" w:hAnsi="Times New Roman" w:eastAsiaTheme="minorEastAsia"/>
        </w:rPr>
      </w:pPr>
    </w:p>
    <w:p w14:paraId="73376C59">
      <w:pPr>
        <w:pStyle w:val="58"/>
        <w:ind w:firstLine="480"/>
        <w:rPr>
          <w:rFonts w:ascii="Times New Roman" w:hAnsi="Times New Roman" w:eastAsiaTheme="minorEastAsia"/>
        </w:rPr>
      </w:pPr>
    </w:p>
    <w:p w14:paraId="304484C0">
      <w:pPr>
        <w:pStyle w:val="58"/>
        <w:ind w:firstLine="480"/>
        <w:rPr>
          <w:rFonts w:ascii="Times New Roman" w:hAnsi="Times New Roman" w:eastAsiaTheme="minorEastAsia"/>
        </w:rPr>
      </w:pPr>
    </w:p>
    <w:p w14:paraId="4FA57B50">
      <w:pPr>
        <w:jc w:val="center"/>
        <w:rPr>
          <w:rFonts w:ascii="Times New Roman" w:hAnsi="Times New Roman" w:cs="Times New Roman"/>
          <w:sz w:val="28"/>
          <w:szCs w:val="28"/>
        </w:rPr>
      </w:pPr>
    </w:p>
    <w:p w14:paraId="1A78836E">
      <w:pPr>
        <w:jc w:val="center"/>
        <w:rPr>
          <w:rFonts w:ascii="Times New Roman" w:hAnsi="Times New Roman" w:cs="Times New Roman"/>
          <w:sz w:val="72"/>
          <w:szCs w:val="72"/>
        </w:rPr>
      </w:pPr>
      <w:r>
        <w:rPr>
          <w:rFonts w:ascii="Times New Roman" w:hAnsi="Times New Roman" w:cs="Times New Roman"/>
          <w:sz w:val="56"/>
          <w:szCs w:val="56"/>
        </w:rPr>
        <w:t>招标文件</w:t>
      </w:r>
    </w:p>
    <w:p w14:paraId="1C56E4DC">
      <w:pPr>
        <w:spacing w:line="324" w:lineRule="auto"/>
        <w:jc w:val="center"/>
        <w:rPr>
          <w:rFonts w:ascii="Times New Roman" w:hAnsi="Times New Roman" w:cs="Times New Roman"/>
          <w:b/>
          <w:bCs/>
          <w:sz w:val="32"/>
          <w:szCs w:val="32"/>
        </w:rPr>
      </w:pPr>
    </w:p>
    <w:p w14:paraId="4C9693DA">
      <w:pPr>
        <w:spacing w:line="324" w:lineRule="auto"/>
        <w:jc w:val="center"/>
        <w:rPr>
          <w:rFonts w:ascii="Times New Roman" w:hAnsi="Times New Roman" w:cs="Times New Roman"/>
          <w:b/>
          <w:bCs/>
          <w:sz w:val="32"/>
          <w:szCs w:val="32"/>
        </w:rPr>
      </w:pPr>
    </w:p>
    <w:p w14:paraId="47B2FA6C">
      <w:pPr>
        <w:spacing w:line="324" w:lineRule="auto"/>
        <w:jc w:val="center"/>
        <w:rPr>
          <w:rFonts w:ascii="Times New Roman" w:hAnsi="Times New Roman" w:cs="Times New Roman"/>
          <w:b/>
          <w:bCs/>
          <w:sz w:val="32"/>
          <w:szCs w:val="32"/>
        </w:rPr>
      </w:pPr>
    </w:p>
    <w:p w14:paraId="383DCE1D">
      <w:pPr>
        <w:spacing w:line="324" w:lineRule="auto"/>
        <w:jc w:val="center"/>
        <w:rPr>
          <w:rFonts w:ascii="Times New Roman" w:hAnsi="Times New Roman" w:cs="Times New Roman"/>
          <w:b/>
          <w:bCs/>
          <w:sz w:val="32"/>
          <w:szCs w:val="32"/>
        </w:rPr>
      </w:pPr>
    </w:p>
    <w:p w14:paraId="3618EFF3">
      <w:pPr>
        <w:spacing w:line="324" w:lineRule="auto"/>
        <w:jc w:val="center"/>
        <w:rPr>
          <w:rFonts w:ascii="Times New Roman" w:hAnsi="Times New Roman" w:cs="Times New Roman"/>
          <w:b/>
          <w:bCs/>
          <w:sz w:val="32"/>
          <w:szCs w:val="32"/>
        </w:rPr>
      </w:pPr>
    </w:p>
    <w:p w14:paraId="7CA027E4">
      <w:pPr>
        <w:spacing w:line="324" w:lineRule="auto"/>
        <w:jc w:val="center"/>
        <w:rPr>
          <w:rFonts w:ascii="Times New Roman" w:hAnsi="Times New Roman" w:cs="Times New Roman"/>
          <w:b/>
          <w:bCs/>
          <w:sz w:val="32"/>
          <w:szCs w:val="32"/>
        </w:rPr>
      </w:pPr>
    </w:p>
    <w:p w14:paraId="27274373">
      <w:pPr>
        <w:spacing w:line="324" w:lineRule="auto"/>
        <w:jc w:val="center"/>
        <w:rPr>
          <w:rFonts w:ascii="Times New Roman" w:hAnsi="Times New Roman" w:cs="Times New Roman"/>
          <w:b/>
          <w:bCs/>
          <w:sz w:val="32"/>
          <w:szCs w:val="32"/>
        </w:rPr>
      </w:pPr>
    </w:p>
    <w:p w14:paraId="285362BA">
      <w:pPr>
        <w:spacing w:line="324" w:lineRule="auto"/>
        <w:jc w:val="center"/>
        <w:rPr>
          <w:rFonts w:ascii="Times New Roman" w:hAnsi="Times New Roman" w:cs="Times New Roman"/>
          <w:b/>
          <w:bCs/>
          <w:sz w:val="32"/>
          <w:szCs w:val="32"/>
        </w:rPr>
      </w:pPr>
    </w:p>
    <w:p w14:paraId="21FF4C25">
      <w:pPr>
        <w:spacing w:line="324" w:lineRule="auto"/>
        <w:jc w:val="center"/>
        <w:rPr>
          <w:rFonts w:ascii="Times New Roman" w:hAnsi="Times New Roman" w:cs="Times New Roman"/>
          <w:b/>
          <w:bCs/>
          <w:sz w:val="32"/>
          <w:szCs w:val="32"/>
        </w:rPr>
      </w:pPr>
    </w:p>
    <w:p w14:paraId="5A18E15C">
      <w:pPr>
        <w:spacing w:line="324" w:lineRule="auto"/>
        <w:jc w:val="center"/>
        <w:rPr>
          <w:rFonts w:ascii="Times New Roman" w:hAnsi="Times New Roman" w:cs="Times New Roman"/>
          <w:b/>
          <w:bCs/>
          <w:sz w:val="30"/>
          <w:szCs w:val="30"/>
        </w:rPr>
      </w:pPr>
      <w:r>
        <w:rPr>
          <w:rFonts w:hint="eastAsia" w:ascii="Times New Roman" w:hAnsi="Times New Roman" w:cs="Times New Roman"/>
          <w:b/>
          <w:bCs/>
          <w:sz w:val="30"/>
          <w:szCs w:val="30"/>
        </w:rPr>
        <w:t>福建省金皇环保科技股份有限公司</w:t>
      </w:r>
    </w:p>
    <w:p w14:paraId="078A6FED">
      <w:pPr>
        <w:jc w:val="center"/>
        <w:rPr>
          <w:rFonts w:ascii="Times New Roman" w:hAnsi="Times New Roman" w:cs="Times New Roman"/>
          <w:sz w:val="28"/>
          <w:szCs w:val="20"/>
        </w:rPr>
      </w:pPr>
      <w:r>
        <w:rPr>
          <w:rFonts w:ascii="Times New Roman" w:hAnsi="Times New Roman" w:cs="Times New Roman"/>
          <w:b/>
          <w:bCs/>
          <w:sz w:val="30"/>
          <w:szCs w:val="30"/>
        </w:rPr>
        <w:t>202</w:t>
      </w:r>
      <w:r>
        <w:rPr>
          <w:rFonts w:hint="eastAsia" w:ascii="Times New Roman" w:hAnsi="Times New Roman" w:cs="Times New Roman"/>
          <w:b/>
          <w:bCs/>
          <w:sz w:val="30"/>
          <w:szCs w:val="30"/>
        </w:rPr>
        <w:t>6</w:t>
      </w:r>
      <w:r>
        <w:rPr>
          <w:rFonts w:ascii="Times New Roman" w:hAnsi="Times New Roman" w:cs="Times New Roman"/>
          <w:b/>
          <w:bCs/>
          <w:sz w:val="30"/>
          <w:szCs w:val="30"/>
        </w:rPr>
        <w:t>年2月</w:t>
      </w:r>
    </w:p>
    <w:p w14:paraId="64F480FB">
      <w:pPr>
        <w:pStyle w:val="10"/>
        <w:rPr>
          <w:rFonts w:ascii="Times New Roman" w:hAnsi="Times New Roman" w:cs="Times New Roman"/>
        </w:rPr>
      </w:pPr>
    </w:p>
    <w:p w14:paraId="13050BA2">
      <w:pPr>
        <w:widowControl/>
        <w:jc w:val="left"/>
        <w:rPr>
          <w:rFonts w:ascii="Times New Roman" w:hAnsi="Times New Roman" w:cs="Times New Roman"/>
        </w:rPr>
      </w:pPr>
      <w:r>
        <w:rPr>
          <w:rFonts w:ascii="Times New Roman" w:hAnsi="Times New Roman" w:cs="Times New Roman"/>
        </w:rPr>
        <w:br w:type="page"/>
      </w:r>
    </w:p>
    <w:p w14:paraId="439BEF49">
      <w:pPr>
        <w:pStyle w:val="17"/>
        <w:rPr>
          <w:rFonts w:ascii="Times New Roman" w:hAnsi="Times New Roman" w:cs="Times New Roman"/>
        </w:rPr>
        <w:sectPr>
          <w:footerReference r:id="rId4" w:type="first"/>
          <w:footerReference r:id="rId3" w:type="even"/>
          <w:pgSz w:w="11907" w:h="16840"/>
          <w:pgMar w:top="1418" w:right="1418" w:bottom="1418" w:left="1418" w:header="964" w:footer="992" w:gutter="0"/>
          <w:pgNumType w:fmt="numberInDash"/>
          <w:cols w:space="720" w:num="1"/>
          <w:docGrid w:linePitch="389" w:charSpace="614"/>
        </w:sectPr>
      </w:pPr>
    </w:p>
    <w:p w14:paraId="5037AE84">
      <w:pPr>
        <w:keepNext/>
        <w:snapToGrid w:val="0"/>
        <w:jc w:val="center"/>
        <w:outlineLvl w:val="0"/>
        <w:rPr>
          <w:rFonts w:ascii="Times New Roman" w:hAnsi="Times New Roman" w:cs="Times New Roman"/>
          <w:b/>
          <w:bCs/>
          <w:sz w:val="32"/>
          <w:szCs w:val="32"/>
        </w:rPr>
      </w:pPr>
      <w:bookmarkStart w:id="1" w:name="_Toc30278"/>
      <w:bookmarkStart w:id="2" w:name="_Toc102227313"/>
      <w:bookmarkStart w:id="3" w:name="_Toc22452"/>
      <w:bookmarkStart w:id="4" w:name="_Toc21311"/>
      <w:bookmarkStart w:id="5" w:name="_Toc33000519"/>
      <w:bookmarkStart w:id="6" w:name="_Toc90666973"/>
      <w:bookmarkStart w:id="7" w:name="_Toc16915"/>
      <w:r>
        <w:rPr>
          <w:rFonts w:ascii="Times New Roman" w:hAnsi="Times New Roman" w:cs="Times New Roman"/>
          <w:b/>
          <w:bCs/>
          <w:sz w:val="32"/>
          <w:szCs w:val="32"/>
        </w:rPr>
        <w:t>一、</w:t>
      </w:r>
      <w:bookmarkEnd w:id="1"/>
      <w:bookmarkEnd w:id="2"/>
      <w:bookmarkEnd w:id="3"/>
      <w:bookmarkEnd w:id="4"/>
      <w:bookmarkEnd w:id="5"/>
      <w:r>
        <w:rPr>
          <w:rFonts w:ascii="Times New Roman" w:hAnsi="Times New Roman" w:cs="Times New Roman"/>
          <w:b/>
          <w:bCs/>
          <w:sz w:val="32"/>
          <w:szCs w:val="32"/>
        </w:rPr>
        <w:t>采购内容与要求</w:t>
      </w:r>
      <w:bookmarkEnd w:id="6"/>
      <w:bookmarkEnd w:id="7"/>
    </w:p>
    <w:p w14:paraId="032EE67B">
      <w:pPr>
        <w:keepNext/>
        <w:keepLines/>
        <w:adjustRightInd w:val="0"/>
        <w:snapToGrid w:val="0"/>
        <w:ind w:left="-11"/>
        <w:outlineLvl w:val="1"/>
        <w:rPr>
          <w:rFonts w:ascii="Times New Roman" w:hAnsi="Times New Roman" w:cs="Times New Roman"/>
          <w:b/>
          <w:bCs/>
          <w:sz w:val="24"/>
          <w:szCs w:val="32"/>
        </w:rPr>
      </w:pPr>
      <w:bookmarkStart w:id="8" w:name="_Toc90666974"/>
      <w:bookmarkStart w:id="9" w:name="_Toc1682"/>
      <w:r>
        <w:rPr>
          <w:rFonts w:ascii="Times New Roman" w:hAnsi="Times New Roman" w:cs="Times New Roman"/>
          <w:b/>
          <w:bCs/>
          <w:sz w:val="24"/>
          <w:szCs w:val="32"/>
        </w:rPr>
        <w:t>1.项目名称</w:t>
      </w:r>
      <w:bookmarkEnd w:id="8"/>
      <w:bookmarkEnd w:id="9"/>
    </w:p>
    <w:p w14:paraId="394CBF12">
      <w:pPr>
        <w:pStyle w:val="10"/>
        <w:adjustRightInd w:val="0"/>
        <w:snapToGrid w:val="0"/>
        <w:spacing w:line="360" w:lineRule="auto"/>
        <w:ind w:firstLine="480" w:firstLineChars="200"/>
        <w:rPr>
          <w:rFonts w:ascii="Times New Roman" w:hAnsi="Times New Roman" w:cs="Times New Roman"/>
          <w:sz w:val="24"/>
          <w:szCs w:val="32"/>
          <w:lang w:eastAsia="zh-Hans"/>
        </w:rPr>
      </w:pPr>
      <w:bookmarkStart w:id="10" w:name="_Toc211"/>
      <w:bookmarkStart w:id="11" w:name="_Toc90666975"/>
      <w:r>
        <w:rPr>
          <w:rFonts w:hint="eastAsia" w:ascii="Times New Roman" w:hAnsi="Times New Roman" w:cs="Times New Roman"/>
          <w:sz w:val="24"/>
          <w:szCs w:val="32"/>
          <w:lang w:eastAsia="zh-Hans"/>
        </w:rPr>
        <w:t>重新选聘新三板挂牌中介机构（会计师事务所）项目。</w:t>
      </w:r>
    </w:p>
    <w:p w14:paraId="504AECD5">
      <w:pPr>
        <w:keepNext/>
        <w:keepLines/>
        <w:adjustRightInd w:val="0"/>
        <w:snapToGrid w:val="0"/>
        <w:spacing w:line="360" w:lineRule="auto"/>
        <w:ind w:left="-11"/>
        <w:outlineLvl w:val="1"/>
        <w:rPr>
          <w:rFonts w:ascii="Times New Roman" w:hAnsi="Times New Roman" w:cs="Times New Roman"/>
          <w:b/>
          <w:bCs/>
          <w:sz w:val="24"/>
          <w:szCs w:val="32"/>
        </w:rPr>
      </w:pPr>
      <w:r>
        <w:rPr>
          <w:rFonts w:ascii="Times New Roman" w:hAnsi="Times New Roman" w:cs="Times New Roman"/>
          <w:b/>
          <w:bCs/>
          <w:sz w:val="24"/>
          <w:szCs w:val="32"/>
        </w:rPr>
        <w:t>2.</w:t>
      </w:r>
      <w:bookmarkEnd w:id="10"/>
      <w:bookmarkEnd w:id="11"/>
      <w:r>
        <w:rPr>
          <w:rFonts w:hint="eastAsia" w:ascii="Times New Roman" w:hAnsi="Times New Roman" w:cs="Times New Roman"/>
          <w:b/>
          <w:bCs/>
          <w:sz w:val="24"/>
          <w:szCs w:val="32"/>
        </w:rPr>
        <w:t>基本信息</w:t>
      </w:r>
    </w:p>
    <w:p w14:paraId="3E03AD2B">
      <w:pPr>
        <w:pStyle w:val="76"/>
        <w:ind w:firstLine="480"/>
        <w:rPr>
          <w:rFonts w:cs="Times New Roman"/>
          <w:szCs w:val="28"/>
        </w:rPr>
      </w:pPr>
      <w:r>
        <w:rPr>
          <w:rFonts w:cs="Times New Roman"/>
          <w:szCs w:val="28"/>
        </w:rPr>
        <w:t>中标供应商负责招标人新三板挂牌工作中与财务审计相关的整体工作，同时按照新三板挂牌相关规定及要求，协助和配合其他中介机构共同完成招标人新三板挂牌工作。</w:t>
      </w:r>
    </w:p>
    <w:p w14:paraId="5D98FD4C">
      <w:pPr>
        <w:keepNext/>
        <w:snapToGrid w:val="0"/>
        <w:jc w:val="center"/>
        <w:outlineLvl w:val="0"/>
        <w:rPr>
          <w:rFonts w:ascii="Times New Roman" w:hAnsi="Times New Roman" w:cs="Times New Roman"/>
          <w:b/>
          <w:bCs/>
          <w:sz w:val="32"/>
          <w:szCs w:val="32"/>
        </w:rPr>
      </w:pPr>
      <w:bookmarkStart w:id="12" w:name="_Toc8076"/>
      <w:bookmarkStart w:id="13" w:name="_Toc90666976"/>
      <w:r>
        <w:rPr>
          <w:rFonts w:ascii="Times New Roman" w:hAnsi="Times New Roman" w:cs="Times New Roman"/>
          <w:b/>
          <w:bCs/>
          <w:sz w:val="32"/>
          <w:szCs w:val="32"/>
        </w:rPr>
        <w:t>二、投标须知</w:t>
      </w:r>
      <w:bookmarkEnd w:id="12"/>
      <w:bookmarkEnd w:id="13"/>
    </w:p>
    <w:p w14:paraId="043AF342">
      <w:pPr>
        <w:keepNext/>
        <w:keepLines/>
        <w:spacing w:before="260" w:after="120"/>
        <w:ind w:left="-11"/>
        <w:outlineLvl w:val="1"/>
        <w:rPr>
          <w:rFonts w:ascii="Times New Roman" w:hAnsi="Times New Roman" w:cs="Times New Roman"/>
          <w:b/>
          <w:bCs/>
          <w:sz w:val="24"/>
          <w:szCs w:val="32"/>
        </w:rPr>
      </w:pPr>
      <w:bookmarkStart w:id="14" w:name="_Toc7831"/>
      <w:bookmarkStart w:id="15" w:name="_Toc90666978"/>
      <w:r>
        <w:rPr>
          <w:rFonts w:ascii="Times New Roman" w:hAnsi="Times New Roman" w:cs="Times New Roman"/>
          <w:b/>
          <w:bCs/>
          <w:sz w:val="24"/>
          <w:szCs w:val="32"/>
        </w:rPr>
        <w:t>1.供应商资格要求及审查办法</w:t>
      </w:r>
      <w:bookmarkEnd w:id="14"/>
      <w:bookmarkEnd w:id="15"/>
    </w:p>
    <w:p w14:paraId="6492E425">
      <w:pPr>
        <w:widowControl/>
        <w:tabs>
          <w:tab w:val="left" w:pos="900"/>
          <w:tab w:val="left" w:pos="1100"/>
        </w:tabs>
        <w:spacing w:line="400" w:lineRule="exact"/>
        <w:ind w:left="14" w:firstLine="372" w:firstLineChars="155"/>
        <w:jc w:val="left"/>
        <w:rPr>
          <w:rFonts w:ascii="Times New Roman" w:hAnsi="Times New Roman" w:cs="Times New Roman"/>
          <w:sz w:val="24"/>
          <w:szCs w:val="32"/>
        </w:rPr>
      </w:pPr>
      <w:r>
        <w:rPr>
          <w:rFonts w:ascii="Times New Roman" w:hAnsi="Times New Roman" w:cs="Times New Roman"/>
          <w:sz w:val="24"/>
          <w:szCs w:val="32"/>
        </w:rPr>
        <w:t>1.1应是在中华人民共和国境内依法注册成立，具备独立承担民事责任能力。</w:t>
      </w:r>
      <w:bookmarkStart w:id="16" w:name="_Hlk181369529"/>
      <w:r>
        <w:rPr>
          <w:rFonts w:ascii="Times New Roman" w:hAnsi="Times New Roman" w:cs="Times New Roman"/>
          <w:sz w:val="24"/>
          <w:szCs w:val="32"/>
        </w:rPr>
        <w:t>分支机构参与投标的，</w:t>
      </w:r>
      <w:bookmarkStart w:id="17" w:name="_Hlk181382781"/>
      <w:r>
        <w:rPr>
          <w:rFonts w:ascii="Times New Roman" w:hAnsi="Times New Roman" w:cs="Times New Roman"/>
          <w:sz w:val="24"/>
          <w:szCs w:val="32"/>
        </w:rPr>
        <w:t>需持有总部单位出具的授权书（加盖总公司公章），且相应民事责任由上级法人单位承担。供应商须提供营业执照</w:t>
      </w:r>
      <w:bookmarkEnd w:id="16"/>
      <w:r>
        <w:rPr>
          <w:rFonts w:hint="eastAsia" w:ascii="Times New Roman" w:hAnsi="Times New Roman" w:cs="Times New Roman"/>
          <w:sz w:val="24"/>
          <w:szCs w:val="32"/>
        </w:rPr>
        <w:t>或事业单位法人证书</w:t>
      </w:r>
      <w:r>
        <w:rPr>
          <w:rFonts w:ascii="Times New Roman" w:hAnsi="Times New Roman" w:cs="Times New Roman"/>
          <w:sz w:val="24"/>
          <w:szCs w:val="32"/>
        </w:rPr>
        <w:t>。</w:t>
      </w:r>
      <w:bookmarkEnd w:id="17"/>
    </w:p>
    <w:p w14:paraId="72474FFB">
      <w:pPr>
        <w:widowControl/>
        <w:tabs>
          <w:tab w:val="left" w:pos="900"/>
          <w:tab w:val="left" w:pos="1100"/>
        </w:tabs>
        <w:spacing w:line="400" w:lineRule="exact"/>
        <w:ind w:left="14" w:firstLine="372" w:firstLineChars="155"/>
        <w:jc w:val="left"/>
        <w:rPr>
          <w:rFonts w:ascii="Times New Roman" w:hAnsi="Times New Roman" w:cs="Times New Roman"/>
          <w:sz w:val="24"/>
          <w:szCs w:val="32"/>
        </w:rPr>
      </w:pPr>
      <w:r>
        <w:rPr>
          <w:rFonts w:ascii="Times New Roman" w:hAnsi="Times New Roman" w:cs="Times New Roman"/>
          <w:sz w:val="24"/>
          <w:szCs w:val="32"/>
        </w:rPr>
        <w:t>1.2供应商须提供</w:t>
      </w:r>
      <w:r>
        <w:rPr>
          <w:rFonts w:hint="eastAsia" w:ascii="Times New Roman" w:hAnsi="Times New Roman" w:cs="Times New Roman"/>
          <w:sz w:val="24"/>
          <w:szCs w:val="32"/>
          <w:u w:val="single"/>
        </w:rPr>
        <w:t>供应商资格承诺函</w:t>
      </w:r>
      <w:r>
        <w:rPr>
          <w:rFonts w:hint="eastAsia" w:ascii="Times New Roman" w:hAnsi="Times New Roman" w:cs="Times New Roman"/>
          <w:sz w:val="24"/>
          <w:szCs w:val="32"/>
        </w:rPr>
        <w:t>或上一年度经第三方审计的财务报告（</w:t>
      </w:r>
      <w:r>
        <w:rPr>
          <w:rFonts w:hint="eastAsia" w:ascii="宋体" w:hAnsi="宋体" w:cs="宋体"/>
          <w:kern w:val="0"/>
          <w:u w:val="single"/>
        </w:rPr>
        <w:t>包括资产负债表、利润表、现金流量表、所有者权益变动表（若有）及其附注（若有）</w:t>
      </w:r>
      <w:r>
        <w:rPr>
          <w:rFonts w:hint="eastAsia" w:ascii="Times New Roman" w:hAnsi="Times New Roman" w:cs="Times New Roman"/>
          <w:bCs/>
          <w:sz w:val="24"/>
          <w:szCs w:val="32"/>
        </w:rPr>
        <w:t>）或银行资信证明。银行资信证明须为</w:t>
      </w:r>
      <w:r>
        <w:rPr>
          <w:rFonts w:ascii="Times New Roman" w:hAnsi="Times New Roman" w:cs="Times New Roman"/>
          <w:sz w:val="24"/>
          <w:szCs w:val="32"/>
        </w:rPr>
        <w:t>投标截止时间前六个月中任一月份</w:t>
      </w:r>
      <w:r>
        <w:rPr>
          <w:rFonts w:hint="eastAsia" w:ascii="Times New Roman" w:hAnsi="Times New Roman" w:cs="Times New Roman"/>
          <w:sz w:val="24"/>
          <w:szCs w:val="32"/>
        </w:rPr>
        <w:t>由供应商基本开户银行出具</w:t>
      </w:r>
      <w:r>
        <w:rPr>
          <w:rFonts w:ascii="Times New Roman" w:hAnsi="Times New Roman" w:cs="Times New Roman"/>
          <w:sz w:val="24"/>
          <w:szCs w:val="32"/>
        </w:rPr>
        <w:t>。</w:t>
      </w:r>
      <w:r>
        <w:rPr>
          <w:rFonts w:hint="eastAsia" w:ascii="Times New Roman" w:hAnsi="Times New Roman" w:cs="Times New Roman"/>
          <w:sz w:val="24"/>
          <w:szCs w:val="32"/>
        </w:rPr>
        <w:t>上述证明材料，仅需选择一种提供。</w:t>
      </w:r>
    </w:p>
    <w:p w14:paraId="34D449A5">
      <w:pPr>
        <w:widowControl/>
        <w:tabs>
          <w:tab w:val="left" w:pos="900"/>
          <w:tab w:val="left" w:pos="1100"/>
        </w:tabs>
        <w:spacing w:line="400" w:lineRule="exact"/>
        <w:ind w:left="14" w:firstLine="372" w:firstLineChars="155"/>
        <w:jc w:val="left"/>
        <w:rPr>
          <w:rFonts w:ascii="Times New Roman" w:hAnsi="Times New Roman" w:cs="Times New Roman"/>
          <w:sz w:val="24"/>
          <w:szCs w:val="32"/>
        </w:rPr>
      </w:pPr>
      <w:r>
        <w:rPr>
          <w:rFonts w:ascii="Times New Roman" w:hAnsi="Times New Roman" w:cs="Times New Roman"/>
          <w:sz w:val="24"/>
          <w:szCs w:val="32"/>
        </w:rPr>
        <w:t>1.3供应商须提供依法缴纳税收证明。提交投标截止时间前六个月（不含投标截止当月）中任一月份的缴纳税收证明复印件</w:t>
      </w:r>
      <w:r>
        <w:rPr>
          <w:rFonts w:hint="eastAsia" w:ascii="Times New Roman" w:hAnsi="Times New Roman" w:cs="Times New Roman"/>
          <w:sz w:val="24"/>
          <w:szCs w:val="32"/>
        </w:rPr>
        <w:t>。若为依法免税范围的供应商，须提供依法免税证明材料。若供应商</w:t>
      </w:r>
      <w:r>
        <w:rPr>
          <w:rFonts w:ascii="Times New Roman" w:hAnsi="Times New Roman" w:cs="Times New Roman"/>
          <w:sz w:val="24"/>
          <w:szCs w:val="32"/>
        </w:rPr>
        <w:t>投标截止时间前六个月（不含投标截止当月）</w:t>
      </w:r>
      <w:r>
        <w:rPr>
          <w:rFonts w:hint="eastAsia" w:ascii="Times New Roman" w:hAnsi="Times New Roman" w:cs="Times New Roman"/>
          <w:sz w:val="24"/>
          <w:szCs w:val="32"/>
        </w:rPr>
        <w:t>未达到缴税情形，须提供税务部门开具的无欠税证明。</w:t>
      </w:r>
    </w:p>
    <w:p w14:paraId="4F1A035A">
      <w:pPr>
        <w:widowControl/>
        <w:tabs>
          <w:tab w:val="left" w:pos="900"/>
          <w:tab w:val="left" w:pos="1100"/>
        </w:tabs>
        <w:spacing w:line="400" w:lineRule="exact"/>
        <w:ind w:left="14" w:firstLine="372" w:firstLineChars="155"/>
        <w:jc w:val="left"/>
        <w:rPr>
          <w:rFonts w:ascii="Times New Roman" w:hAnsi="Times New Roman" w:cs="Times New Roman"/>
          <w:sz w:val="24"/>
          <w:szCs w:val="32"/>
        </w:rPr>
      </w:pPr>
      <w:r>
        <w:rPr>
          <w:rFonts w:ascii="Times New Roman" w:hAnsi="Times New Roman" w:cs="Times New Roman"/>
          <w:sz w:val="24"/>
          <w:szCs w:val="32"/>
        </w:rPr>
        <w:t>1.4供应商须提供依法缴纳社保（至少包含养老保险）证明。提交投标截止时间前六个月（不含投标截止当月）中任一月份的社会保险凭据复印件。</w:t>
      </w:r>
    </w:p>
    <w:p w14:paraId="33FF6751">
      <w:pPr>
        <w:widowControl/>
        <w:tabs>
          <w:tab w:val="left" w:pos="900"/>
          <w:tab w:val="left" w:pos="1100"/>
        </w:tabs>
        <w:spacing w:line="400" w:lineRule="exact"/>
        <w:ind w:left="14" w:firstLine="372" w:firstLineChars="155"/>
        <w:jc w:val="left"/>
        <w:rPr>
          <w:rFonts w:ascii="Times New Roman" w:hAnsi="Times New Roman" w:cs="Times New Roman"/>
          <w:sz w:val="24"/>
          <w:szCs w:val="32"/>
        </w:rPr>
      </w:pPr>
      <w:r>
        <w:rPr>
          <w:rFonts w:ascii="Times New Roman" w:hAnsi="Times New Roman" w:cs="Times New Roman"/>
          <w:sz w:val="24"/>
          <w:szCs w:val="32"/>
        </w:rPr>
        <w:t>1.5供应商须具备履行合同所必需设备和专业技术能力。须提供相应声明函。</w:t>
      </w:r>
    </w:p>
    <w:p w14:paraId="682B5D2C">
      <w:pPr>
        <w:widowControl/>
        <w:tabs>
          <w:tab w:val="left" w:pos="900"/>
          <w:tab w:val="left" w:pos="1100"/>
        </w:tabs>
        <w:spacing w:line="400" w:lineRule="exact"/>
        <w:ind w:left="14" w:firstLine="372" w:firstLineChars="155"/>
        <w:jc w:val="left"/>
        <w:rPr>
          <w:rFonts w:ascii="Times New Roman" w:hAnsi="Times New Roman" w:cs="Times New Roman"/>
          <w:sz w:val="24"/>
          <w:szCs w:val="32"/>
        </w:rPr>
      </w:pPr>
      <w:r>
        <w:rPr>
          <w:rFonts w:ascii="Times New Roman" w:hAnsi="Times New Roman" w:cs="Times New Roman"/>
          <w:sz w:val="24"/>
          <w:szCs w:val="32"/>
        </w:rPr>
        <w:t>1.6供应商参加采购活动前三年内在经营活动中没有重大违法记录。须提供相应声明函。</w:t>
      </w:r>
    </w:p>
    <w:p w14:paraId="62A25D83">
      <w:pPr>
        <w:widowControl/>
        <w:tabs>
          <w:tab w:val="left" w:pos="900"/>
          <w:tab w:val="left" w:pos="1100"/>
        </w:tabs>
        <w:spacing w:line="400" w:lineRule="exact"/>
        <w:ind w:left="14" w:firstLine="372" w:firstLineChars="155"/>
        <w:jc w:val="left"/>
        <w:rPr>
          <w:rFonts w:ascii="Times New Roman" w:hAnsi="Times New Roman" w:cs="Times New Roman"/>
          <w:sz w:val="24"/>
          <w:szCs w:val="32"/>
        </w:rPr>
      </w:pPr>
      <w:r>
        <w:rPr>
          <w:rFonts w:ascii="Times New Roman" w:hAnsi="Times New Roman" w:cs="Times New Roman"/>
          <w:sz w:val="24"/>
          <w:szCs w:val="32"/>
        </w:rPr>
        <w:t>1.7供应商</w:t>
      </w:r>
      <w:r>
        <w:rPr>
          <w:rFonts w:hint="eastAsia" w:ascii="Times New Roman" w:hAnsi="Times New Roman" w:cs="Times New Roman"/>
          <w:sz w:val="24"/>
          <w:szCs w:val="32"/>
        </w:rPr>
        <w:t>须提供廉洁承诺书</w:t>
      </w:r>
      <w:r>
        <w:rPr>
          <w:rFonts w:ascii="Times New Roman" w:hAnsi="Times New Roman" w:cs="Times New Roman"/>
          <w:sz w:val="24"/>
          <w:szCs w:val="32"/>
        </w:rPr>
        <w:t>。</w:t>
      </w:r>
    </w:p>
    <w:p w14:paraId="09EA6673">
      <w:pPr>
        <w:widowControl/>
        <w:tabs>
          <w:tab w:val="left" w:pos="900"/>
          <w:tab w:val="left" w:pos="1100"/>
        </w:tabs>
        <w:spacing w:line="400" w:lineRule="exact"/>
        <w:ind w:left="14" w:firstLine="372" w:firstLineChars="155"/>
        <w:jc w:val="left"/>
        <w:rPr>
          <w:rFonts w:ascii="Times New Roman" w:hAnsi="Times New Roman" w:cs="Times New Roman"/>
          <w:sz w:val="24"/>
          <w:szCs w:val="32"/>
        </w:rPr>
      </w:pPr>
      <w:r>
        <w:rPr>
          <w:rFonts w:ascii="Times New Roman" w:hAnsi="Times New Roman" w:cs="Times New Roman"/>
          <w:sz w:val="24"/>
          <w:szCs w:val="32"/>
        </w:rPr>
        <w:t>1.8供应商</w:t>
      </w:r>
      <w:r>
        <w:rPr>
          <w:rFonts w:hint="eastAsia" w:ascii="Times New Roman" w:hAnsi="Times New Roman" w:cs="Times New Roman"/>
          <w:sz w:val="24"/>
          <w:szCs w:val="32"/>
        </w:rPr>
        <w:t>须提供保密承诺书</w:t>
      </w:r>
      <w:r>
        <w:rPr>
          <w:rFonts w:ascii="Times New Roman" w:hAnsi="Times New Roman" w:cs="Times New Roman"/>
          <w:sz w:val="24"/>
          <w:szCs w:val="32"/>
        </w:rPr>
        <w:t>。</w:t>
      </w:r>
    </w:p>
    <w:p w14:paraId="006906EC">
      <w:pPr>
        <w:widowControl/>
        <w:tabs>
          <w:tab w:val="left" w:pos="900"/>
          <w:tab w:val="left" w:pos="1100"/>
        </w:tabs>
        <w:spacing w:line="400" w:lineRule="exact"/>
        <w:ind w:left="14" w:firstLine="372" w:firstLineChars="155"/>
        <w:jc w:val="left"/>
        <w:rPr>
          <w:rFonts w:ascii="Times New Roman" w:hAnsi="Times New Roman" w:cs="Times New Roman"/>
          <w:sz w:val="24"/>
          <w:szCs w:val="32"/>
        </w:rPr>
      </w:pPr>
      <w:r>
        <w:rPr>
          <w:rFonts w:ascii="Times New Roman" w:hAnsi="Times New Roman" w:cs="Times New Roman"/>
          <w:sz w:val="24"/>
          <w:szCs w:val="32"/>
        </w:rPr>
        <w:t>1.9供应商参加本项目采购活动(投标截止时间)前三年内在信用中国（网址：www.creditchina.gov.cn/）被列入失信被执行人名单、重大税收违法案件当事人名单、政府采购严重违法失信行为记录名单且相关信用惩戒期限未满的，其资格审查不合格。</w:t>
      </w:r>
      <w:r>
        <w:rPr>
          <w:rFonts w:hint="eastAsia" w:ascii="Times New Roman" w:hAnsi="Times New Roman" w:cs="Times New Roman"/>
          <w:b/>
          <w:sz w:val="24"/>
          <w:szCs w:val="32"/>
          <w:u w:val="single"/>
        </w:rPr>
        <w:t>供应商须提供查询结果截图</w:t>
      </w:r>
      <w:r>
        <w:rPr>
          <w:rFonts w:hint="eastAsia" w:asciiTheme="majorEastAsia" w:hAnsiTheme="majorEastAsia" w:eastAsiaTheme="majorEastAsia" w:cstheme="majorEastAsia"/>
          <w:sz w:val="24"/>
          <w:szCs w:val="28"/>
        </w:rPr>
        <w:t>，若供应商未提供，以招标人查询为准</w:t>
      </w:r>
      <w:r>
        <w:rPr>
          <w:rFonts w:ascii="Times New Roman" w:hAnsi="Times New Roman" w:cs="Times New Roman"/>
          <w:sz w:val="24"/>
          <w:szCs w:val="32"/>
        </w:rPr>
        <w:t>。</w:t>
      </w:r>
    </w:p>
    <w:p w14:paraId="583B479A">
      <w:pPr>
        <w:widowControl/>
        <w:tabs>
          <w:tab w:val="left" w:pos="900"/>
          <w:tab w:val="left" w:pos="1100"/>
        </w:tabs>
        <w:spacing w:line="400" w:lineRule="exact"/>
        <w:ind w:left="14" w:firstLine="372" w:firstLineChars="155"/>
        <w:jc w:val="left"/>
        <w:rPr>
          <w:rFonts w:ascii="Times New Roman" w:hAnsi="Times New Roman" w:cs="Times New Roman"/>
          <w:sz w:val="24"/>
          <w:szCs w:val="32"/>
        </w:rPr>
      </w:pPr>
      <w:r>
        <w:rPr>
          <w:rFonts w:ascii="Times New Roman" w:hAnsi="Times New Roman" w:cs="Times New Roman"/>
          <w:sz w:val="24"/>
          <w:szCs w:val="32"/>
        </w:rPr>
        <w:t>1.10本招标项目</w:t>
      </w:r>
      <w:r>
        <w:rPr>
          <w:rFonts w:ascii="Times New Roman" w:hAnsi="Times New Roman" w:cs="Times New Roman"/>
          <w:sz w:val="24"/>
          <w:szCs w:val="32"/>
          <w:u w:val="single"/>
        </w:rPr>
        <w:t xml:space="preserve">  </w:t>
      </w:r>
      <w:r>
        <w:rPr>
          <w:rFonts w:hint="eastAsia" w:ascii="Times New Roman" w:hAnsi="Times New Roman" w:cs="Times New Roman"/>
          <w:b/>
          <w:sz w:val="24"/>
          <w:szCs w:val="32"/>
          <w:u w:val="single"/>
        </w:rPr>
        <w:t>不</w:t>
      </w:r>
      <w:r>
        <w:rPr>
          <w:rFonts w:ascii="Times New Roman" w:hAnsi="Times New Roman" w:cs="Times New Roman"/>
          <w:b/>
          <w:bCs/>
          <w:sz w:val="24"/>
          <w:szCs w:val="32"/>
          <w:u w:val="single"/>
        </w:rPr>
        <w:t>接受</w:t>
      </w:r>
      <w:r>
        <w:rPr>
          <w:rFonts w:ascii="Times New Roman" w:hAnsi="Times New Roman" w:cs="Times New Roman"/>
          <w:sz w:val="24"/>
          <w:szCs w:val="32"/>
          <w:u w:val="single"/>
        </w:rPr>
        <w:t xml:space="preserve">  </w:t>
      </w:r>
      <w:r>
        <w:rPr>
          <w:rFonts w:ascii="Times New Roman" w:hAnsi="Times New Roman" w:cs="Times New Roman"/>
          <w:sz w:val="24"/>
          <w:szCs w:val="32"/>
        </w:rPr>
        <w:t>联合体投标。</w:t>
      </w:r>
    </w:p>
    <w:p w14:paraId="7536BDCE">
      <w:pPr>
        <w:widowControl/>
        <w:tabs>
          <w:tab w:val="left" w:pos="900"/>
          <w:tab w:val="left" w:pos="1100"/>
        </w:tabs>
        <w:spacing w:line="400" w:lineRule="exact"/>
        <w:ind w:left="14" w:firstLine="372" w:firstLineChars="155"/>
        <w:jc w:val="left"/>
        <w:rPr>
          <w:rFonts w:ascii="Times New Roman" w:hAnsi="Times New Roman" w:cs="Times New Roman"/>
          <w:b/>
          <w:sz w:val="24"/>
          <w:szCs w:val="32"/>
          <w:u w:val="single"/>
        </w:rPr>
      </w:pPr>
      <w:r>
        <w:rPr>
          <w:rFonts w:ascii="Times New Roman" w:hAnsi="Times New Roman" w:cs="Times New Roman"/>
          <w:sz w:val="24"/>
          <w:szCs w:val="32"/>
        </w:rPr>
        <w:t>1.11其他资格要求：</w:t>
      </w:r>
      <w:r>
        <w:rPr>
          <w:rFonts w:ascii="Times New Roman" w:hAnsi="Times New Roman" w:cs="Times New Roman"/>
          <w:b/>
          <w:sz w:val="24"/>
          <w:szCs w:val="32"/>
          <w:u w:val="single"/>
        </w:rPr>
        <w:t>供应商须为经证监会备案从事证券服务业务的会计师事务所，须提供相关证明材料</w:t>
      </w:r>
      <w:r>
        <w:rPr>
          <w:rFonts w:hint="eastAsia" w:ascii="Times New Roman" w:hAnsi="Times New Roman" w:cs="Times New Roman"/>
          <w:b/>
          <w:sz w:val="24"/>
          <w:szCs w:val="32"/>
          <w:u w:val="single"/>
        </w:rPr>
        <w:t>。</w:t>
      </w:r>
    </w:p>
    <w:p w14:paraId="501C6E6A">
      <w:pPr>
        <w:widowControl/>
        <w:tabs>
          <w:tab w:val="left" w:pos="900"/>
          <w:tab w:val="left" w:pos="1100"/>
        </w:tabs>
        <w:spacing w:line="400" w:lineRule="exact"/>
        <w:ind w:left="14" w:firstLine="372" w:firstLineChars="155"/>
        <w:jc w:val="left"/>
        <w:rPr>
          <w:rFonts w:ascii="Times New Roman" w:hAnsi="Times New Roman" w:cs="Times New Roman"/>
          <w:sz w:val="24"/>
          <w:szCs w:val="32"/>
        </w:rPr>
      </w:pPr>
      <w:r>
        <w:rPr>
          <w:rFonts w:ascii="Times New Roman" w:hAnsi="Times New Roman" w:cs="Times New Roman"/>
          <w:sz w:val="24"/>
          <w:szCs w:val="32"/>
        </w:rPr>
        <w:t>1.12本招标项目采用</w:t>
      </w:r>
      <w:r>
        <w:rPr>
          <w:rFonts w:ascii="Times New Roman" w:hAnsi="Times New Roman" w:cs="Times New Roman"/>
          <w:sz w:val="24"/>
          <w:szCs w:val="32"/>
          <w:u w:val="single"/>
        </w:rPr>
        <w:t xml:space="preserve">    </w:t>
      </w:r>
      <w:r>
        <w:rPr>
          <w:rFonts w:ascii="Times New Roman" w:hAnsi="Times New Roman" w:cs="Times New Roman"/>
          <w:b/>
          <w:bCs/>
          <w:sz w:val="24"/>
          <w:szCs w:val="32"/>
          <w:u w:val="single"/>
        </w:rPr>
        <w:t>资格后审</w:t>
      </w:r>
      <w:r>
        <w:rPr>
          <w:rFonts w:ascii="Times New Roman" w:hAnsi="Times New Roman" w:cs="Times New Roman"/>
          <w:sz w:val="24"/>
          <w:szCs w:val="32"/>
          <w:u w:val="single"/>
        </w:rPr>
        <w:t xml:space="preserve">   </w:t>
      </w:r>
      <w:r>
        <w:rPr>
          <w:rFonts w:ascii="Times New Roman" w:hAnsi="Times New Roman" w:cs="Times New Roman"/>
          <w:sz w:val="24"/>
          <w:szCs w:val="32"/>
        </w:rPr>
        <w:t>方式对供应商的资格进行审查。</w:t>
      </w:r>
    </w:p>
    <w:p w14:paraId="6DC4A59B">
      <w:pPr>
        <w:keepNext/>
        <w:keepLines/>
        <w:spacing w:before="260" w:after="120" w:line="400" w:lineRule="exact"/>
        <w:ind w:left="-11"/>
        <w:outlineLvl w:val="1"/>
        <w:rPr>
          <w:rFonts w:ascii="Times New Roman" w:hAnsi="Times New Roman" w:cs="Times New Roman"/>
          <w:b/>
          <w:bCs/>
          <w:sz w:val="24"/>
          <w:szCs w:val="32"/>
        </w:rPr>
      </w:pPr>
      <w:bookmarkStart w:id="18" w:name="_Toc90666979"/>
      <w:bookmarkStart w:id="19" w:name="_Toc21212"/>
      <w:r>
        <w:rPr>
          <w:rFonts w:ascii="Times New Roman" w:hAnsi="Times New Roman" w:cs="Times New Roman"/>
          <w:b/>
          <w:bCs/>
          <w:sz w:val="24"/>
          <w:szCs w:val="32"/>
        </w:rPr>
        <w:t>2.招标文件的获取</w:t>
      </w:r>
      <w:bookmarkEnd w:id="18"/>
      <w:bookmarkEnd w:id="19"/>
    </w:p>
    <w:p w14:paraId="2C1227FE">
      <w:pPr>
        <w:widowControl/>
        <w:tabs>
          <w:tab w:val="left" w:pos="900"/>
          <w:tab w:val="left" w:pos="1100"/>
        </w:tabs>
        <w:spacing w:line="400" w:lineRule="exact"/>
        <w:ind w:left="14" w:firstLine="372" w:firstLineChars="155"/>
        <w:jc w:val="left"/>
        <w:rPr>
          <w:rFonts w:ascii="Times New Roman" w:hAnsi="Times New Roman" w:cs="Times New Roman"/>
          <w:sz w:val="24"/>
          <w:szCs w:val="32"/>
        </w:rPr>
      </w:pPr>
      <w:r>
        <w:rPr>
          <w:rFonts w:ascii="Times New Roman" w:hAnsi="Times New Roman" w:cs="Times New Roman"/>
          <w:sz w:val="24"/>
          <w:szCs w:val="32"/>
        </w:rPr>
        <w:t>3.1.本招标项目</w:t>
      </w:r>
      <w:r>
        <w:rPr>
          <w:rFonts w:ascii="Times New Roman" w:hAnsi="Times New Roman" w:cs="Times New Roman"/>
          <w:sz w:val="24"/>
          <w:szCs w:val="32"/>
          <w:u w:val="single"/>
        </w:rPr>
        <w:t xml:space="preserve">   </w:t>
      </w:r>
      <w:r>
        <w:rPr>
          <w:rFonts w:ascii="Times New Roman" w:hAnsi="Times New Roman" w:cs="Times New Roman"/>
          <w:b/>
          <w:bCs/>
          <w:sz w:val="24"/>
          <w:szCs w:val="32"/>
          <w:u w:val="single"/>
        </w:rPr>
        <w:t>不采用</w:t>
      </w:r>
      <w:r>
        <w:rPr>
          <w:rFonts w:ascii="Times New Roman" w:hAnsi="Times New Roman" w:cs="Times New Roman"/>
          <w:sz w:val="24"/>
          <w:szCs w:val="32"/>
          <w:u w:val="single"/>
        </w:rPr>
        <w:t xml:space="preserve">   </w:t>
      </w:r>
      <w:r>
        <w:rPr>
          <w:rFonts w:ascii="Times New Roman" w:hAnsi="Times New Roman" w:cs="Times New Roman"/>
          <w:sz w:val="24"/>
          <w:szCs w:val="32"/>
        </w:rPr>
        <w:t>电子招投标。</w:t>
      </w:r>
    </w:p>
    <w:p w14:paraId="4F94F857">
      <w:pPr>
        <w:widowControl/>
        <w:tabs>
          <w:tab w:val="left" w:pos="900"/>
          <w:tab w:val="left" w:pos="1100"/>
        </w:tabs>
        <w:spacing w:line="400" w:lineRule="exact"/>
        <w:ind w:left="14" w:firstLine="372" w:firstLineChars="155"/>
        <w:jc w:val="left"/>
        <w:rPr>
          <w:rFonts w:ascii="Times New Roman" w:hAnsi="Times New Roman" w:cs="Times New Roman"/>
          <w:sz w:val="24"/>
          <w:szCs w:val="32"/>
        </w:rPr>
      </w:pPr>
      <w:r>
        <w:rPr>
          <w:rFonts w:ascii="Times New Roman" w:hAnsi="Times New Roman" w:cs="Times New Roman"/>
          <w:sz w:val="24"/>
          <w:szCs w:val="32"/>
        </w:rPr>
        <w:t>3.2.</w:t>
      </w:r>
      <w:r>
        <w:rPr>
          <w:rFonts w:hint="eastAsia" w:ascii="Times New Roman" w:hAnsi="Times New Roman" w:cs="Times New Roman"/>
          <w:sz w:val="24"/>
          <w:szCs w:val="32"/>
        </w:rPr>
        <w:t>详见本项目招标公告。</w:t>
      </w:r>
    </w:p>
    <w:p w14:paraId="2107FCDF">
      <w:pPr>
        <w:keepNext/>
        <w:keepLines/>
        <w:spacing w:before="260" w:after="120" w:line="500" w:lineRule="exact"/>
        <w:ind w:left="-11"/>
        <w:outlineLvl w:val="1"/>
        <w:rPr>
          <w:rFonts w:ascii="Times New Roman" w:hAnsi="Times New Roman" w:cs="Times New Roman"/>
          <w:b/>
          <w:bCs/>
          <w:sz w:val="24"/>
          <w:szCs w:val="32"/>
        </w:rPr>
      </w:pPr>
      <w:r>
        <w:rPr>
          <w:rFonts w:ascii="Times New Roman" w:hAnsi="Times New Roman" w:cs="Times New Roman"/>
          <w:b/>
          <w:bCs/>
          <w:sz w:val="24"/>
          <w:szCs w:val="32"/>
        </w:rPr>
        <w:t>3.投标保证金</w:t>
      </w:r>
    </w:p>
    <w:p w14:paraId="4A7CB3A1">
      <w:pPr>
        <w:spacing w:line="400" w:lineRule="exact"/>
        <w:ind w:firstLine="566"/>
        <w:rPr>
          <w:rFonts w:ascii="Times New Roman" w:hAnsi="Times New Roman" w:cs="Times New Roman"/>
          <w:sz w:val="24"/>
          <w:szCs w:val="32"/>
        </w:rPr>
      </w:pPr>
      <w:r>
        <w:rPr>
          <w:rFonts w:ascii="Times New Roman" w:hAnsi="Times New Roman" w:cs="Times New Roman"/>
          <w:sz w:val="24"/>
          <w:szCs w:val="32"/>
        </w:rPr>
        <w:t>本项目，无保证金要求。</w:t>
      </w:r>
    </w:p>
    <w:p w14:paraId="2D03FF4E">
      <w:pPr>
        <w:keepNext/>
        <w:keepLines/>
        <w:spacing w:before="260" w:after="120" w:line="400" w:lineRule="exact"/>
        <w:ind w:left="-11"/>
        <w:outlineLvl w:val="1"/>
        <w:rPr>
          <w:rFonts w:ascii="Times New Roman" w:hAnsi="Times New Roman" w:cs="Times New Roman"/>
          <w:b/>
          <w:bCs/>
          <w:sz w:val="24"/>
          <w:szCs w:val="32"/>
        </w:rPr>
      </w:pPr>
      <w:bookmarkStart w:id="20" w:name="_Toc90666980"/>
      <w:bookmarkStart w:id="21" w:name="_Toc22085"/>
      <w:r>
        <w:rPr>
          <w:rFonts w:ascii="Times New Roman" w:hAnsi="Times New Roman" w:cs="Times New Roman"/>
          <w:b/>
          <w:bCs/>
          <w:sz w:val="24"/>
          <w:szCs w:val="32"/>
        </w:rPr>
        <w:t>4.评标办法</w:t>
      </w:r>
      <w:bookmarkEnd w:id="20"/>
      <w:bookmarkEnd w:id="21"/>
    </w:p>
    <w:p w14:paraId="0D6628AF">
      <w:pPr>
        <w:widowControl/>
        <w:tabs>
          <w:tab w:val="left" w:pos="0"/>
          <w:tab w:val="left" w:pos="900"/>
          <w:tab w:val="left" w:pos="1100"/>
        </w:tabs>
        <w:spacing w:line="400" w:lineRule="exact"/>
        <w:ind w:firstLine="510"/>
        <w:jc w:val="left"/>
        <w:rPr>
          <w:rFonts w:ascii="Times New Roman" w:hAnsi="Times New Roman" w:cs="Times New Roman"/>
          <w:sz w:val="24"/>
          <w:szCs w:val="32"/>
          <w:u w:val="single"/>
        </w:rPr>
      </w:pPr>
      <w:r>
        <w:rPr>
          <w:rFonts w:ascii="Times New Roman" w:hAnsi="Times New Roman" w:cs="Times New Roman"/>
          <w:sz w:val="24"/>
          <w:szCs w:val="32"/>
        </w:rPr>
        <w:t>本招标项目采用的评标办法：</w:t>
      </w:r>
      <w:r>
        <w:rPr>
          <w:rFonts w:ascii="Times New Roman" w:hAnsi="Times New Roman" w:cs="Times New Roman"/>
          <w:b/>
          <w:bCs/>
          <w:sz w:val="24"/>
          <w:szCs w:val="32"/>
          <w:u w:val="single"/>
        </w:rPr>
        <w:t>综合评标法</w:t>
      </w:r>
      <w:r>
        <w:rPr>
          <w:rFonts w:ascii="Times New Roman" w:hAnsi="Times New Roman" w:cs="Times New Roman"/>
          <w:sz w:val="24"/>
          <w:szCs w:val="32"/>
          <w:u w:val="single"/>
        </w:rPr>
        <w:t>。</w:t>
      </w:r>
    </w:p>
    <w:p w14:paraId="01FC99BB">
      <w:pPr>
        <w:keepNext/>
        <w:keepLines/>
        <w:spacing w:before="260" w:after="120" w:line="400" w:lineRule="exact"/>
        <w:ind w:left="-11"/>
        <w:outlineLvl w:val="1"/>
        <w:rPr>
          <w:rFonts w:ascii="Times New Roman" w:hAnsi="Times New Roman" w:cs="Times New Roman"/>
          <w:b/>
          <w:bCs/>
          <w:sz w:val="24"/>
          <w:szCs w:val="32"/>
        </w:rPr>
      </w:pPr>
      <w:bookmarkStart w:id="22" w:name="_Toc19468"/>
      <w:bookmarkStart w:id="23" w:name="_Toc10916"/>
      <w:bookmarkStart w:id="24" w:name="_Toc11364"/>
      <w:bookmarkStart w:id="25" w:name="_Toc33000525"/>
      <w:bookmarkStart w:id="26" w:name="_Toc90666987"/>
      <w:bookmarkStart w:id="27" w:name="_Toc19273"/>
      <w:bookmarkStart w:id="28" w:name="_Toc102227321"/>
      <w:r>
        <w:rPr>
          <w:rFonts w:ascii="Times New Roman" w:hAnsi="Times New Roman" w:cs="Times New Roman"/>
          <w:b/>
          <w:bCs/>
          <w:sz w:val="24"/>
          <w:szCs w:val="32"/>
        </w:rPr>
        <w:t>5.评</w:t>
      </w:r>
      <w:r>
        <w:rPr>
          <w:rFonts w:hint="eastAsia" w:ascii="Times New Roman" w:hAnsi="Times New Roman" w:cs="Times New Roman"/>
          <w:b/>
          <w:bCs/>
          <w:sz w:val="24"/>
          <w:szCs w:val="32"/>
        </w:rPr>
        <w:t>分</w:t>
      </w:r>
      <w:bookmarkEnd w:id="22"/>
      <w:bookmarkEnd w:id="23"/>
      <w:bookmarkEnd w:id="24"/>
      <w:bookmarkEnd w:id="25"/>
      <w:bookmarkEnd w:id="26"/>
      <w:bookmarkEnd w:id="27"/>
      <w:r>
        <w:rPr>
          <w:rFonts w:hint="eastAsia" w:ascii="Times New Roman" w:hAnsi="Times New Roman" w:cs="Times New Roman"/>
          <w:b/>
          <w:bCs/>
          <w:sz w:val="24"/>
          <w:szCs w:val="32"/>
        </w:rPr>
        <w:t>方法</w:t>
      </w:r>
    </w:p>
    <w:p w14:paraId="52A24A83">
      <w:pPr>
        <w:spacing w:line="400" w:lineRule="exact"/>
        <w:ind w:firstLine="512" w:firstLineChars="200"/>
        <w:rPr>
          <w:rFonts w:ascii="Times New Roman" w:hAnsi="Times New Roman" w:cs="Times New Roman"/>
          <w:snapToGrid w:val="0"/>
          <w:spacing w:val="8"/>
          <w:sz w:val="24"/>
          <w:szCs w:val="32"/>
        </w:rPr>
      </w:pPr>
      <w:r>
        <w:rPr>
          <w:rFonts w:ascii="Times New Roman" w:hAnsi="Times New Roman" w:cs="Times New Roman"/>
          <w:snapToGrid w:val="0"/>
          <w:spacing w:val="8"/>
          <w:sz w:val="24"/>
          <w:szCs w:val="32"/>
        </w:rPr>
        <w:t>各部分评分分值分布如下：</w:t>
      </w:r>
    </w:p>
    <w:p w14:paraId="37116A8B">
      <w:pPr>
        <w:adjustRightInd w:val="0"/>
        <w:snapToGrid w:val="0"/>
        <w:spacing w:line="400" w:lineRule="exact"/>
        <w:ind w:left="661" w:leftChars="200" w:hanging="241" w:hangingChars="100"/>
        <w:jc w:val="left"/>
        <w:rPr>
          <w:rFonts w:ascii="Times New Roman" w:hAnsi="Times New Roman" w:cs="Times New Roman"/>
          <w:b/>
          <w:bCs/>
          <w:sz w:val="24"/>
          <w:szCs w:val="32"/>
        </w:rPr>
      </w:pPr>
      <w:r>
        <w:rPr>
          <w:rFonts w:ascii="Times New Roman" w:hAnsi="Times New Roman" w:cs="Times New Roman"/>
          <w:b/>
          <w:bCs/>
          <w:sz w:val="24"/>
          <w:szCs w:val="32"/>
        </w:rPr>
        <w:t>F1：商务部分评分       满分20分</w:t>
      </w:r>
    </w:p>
    <w:p w14:paraId="32313701">
      <w:pPr>
        <w:adjustRightInd w:val="0"/>
        <w:snapToGrid w:val="0"/>
        <w:spacing w:line="400" w:lineRule="exact"/>
        <w:ind w:left="661" w:leftChars="200" w:hanging="241" w:hangingChars="100"/>
        <w:jc w:val="left"/>
        <w:rPr>
          <w:rFonts w:ascii="Times New Roman" w:hAnsi="Times New Roman" w:cs="Times New Roman"/>
          <w:b/>
          <w:bCs/>
          <w:sz w:val="24"/>
          <w:szCs w:val="32"/>
        </w:rPr>
      </w:pPr>
      <w:r>
        <w:rPr>
          <w:rFonts w:ascii="Times New Roman" w:hAnsi="Times New Roman" w:cs="Times New Roman"/>
          <w:b/>
          <w:bCs/>
          <w:sz w:val="24"/>
          <w:szCs w:val="32"/>
        </w:rPr>
        <w:t xml:space="preserve">F2：技术部分评分       </w:t>
      </w:r>
      <w:bookmarkStart w:id="29" w:name="_Toc28327"/>
      <w:r>
        <w:rPr>
          <w:rFonts w:ascii="Times New Roman" w:hAnsi="Times New Roman" w:cs="Times New Roman"/>
          <w:b/>
          <w:bCs/>
          <w:sz w:val="24"/>
          <w:szCs w:val="32"/>
        </w:rPr>
        <w:t>满分65分</w:t>
      </w:r>
    </w:p>
    <w:bookmarkEnd w:id="29"/>
    <w:p w14:paraId="2517F968">
      <w:pPr>
        <w:adjustRightInd w:val="0"/>
        <w:snapToGrid w:val="0"/>
        <w:spacing w:line="400" w:lineRule="exact"/>
        <w:ind w:left="661" w:leftChars="200" w:hanging="241" w:hangingChars="100"/>
        <w:jc w:val="left"/>
        <w:rPr>
          <w:rFonts w:ascii="Times New Roman" w:hAnsi="Times New Roman" w:cs="Times New Roman"/>
          <w:b/>
          <w:bCs/>
          <w:sz w:val="24"/>
          <w:szCs w:val="32"/>
        </w:rPr>
      </w:pPr>
      <w:bookmarkStart w:id="30" w:name="_Toc19661"/>
      <w:r>
        <w:rPr>
          <w:rFonts w:ascii="Times New Roman" w:hAnsi="Times New Roman" w:cs="Times New Roman"/>
          <w:b/>
          <w:bCs/>
          <w:sz w:val="24"/>
          <w:szCs w:val="32"/>
        </w:rPr>
        <w:t xml:space="preserve">F3：报价部分评分      </w:t>
      </w:r>
      <w:bookmarkEnd w:id="30"/>
      <w:bookmarkStart w:id="31" w:name="_Toc28010"/>
      <w:r>
        <w:rPr>
          <w:rFonts w:ascii="Times New Roman" w:hAnsi="Times New Roman" w:cs="Times New Roman"/>
          <w:b/>
          <w:bCs/>
          <w:sz w:val="24"/>
          <w:szCs w:val="32"/>
        </w:rPr>
        <w:t xml:space="preserve"> 满分15分</w:t>
      </w:r>
    </w:p>
    <w:bookmarkEnd w:id="31"/>
    <w:p w14:paraId="23C7CEAB">
      <w:pPr>
        <w:spacing w:line="400" w:lineRule="exact"/>
        <w:ind w:firstLine="512" w:firstLineChars="200"/>
        <w:rPr>
          <w:rFonts w:ascii="Times New Roman" w:hAnsi="Times New Roman" w:cs="Times New Roman"/>
          <w:snapToGrid w:val="0"/>
          <w:spacing w:val="8"/>
          <w:sz w:val="24"/>
          <w:szCs w:val="32"/>
        </w:rPr>
      </w:pPr>
      <w:r>
        <w:rPr>
          <w:rFonts w:ascii="Times New Roman" w:hAnsi="Times New Roman" w:cs="Times New Roman"/>
          <w:snapToGrid w:val="0"/>
          <w:spacing w:val="8"/>
          <w:sz w:val="24"/>
          <w:szCs w:val="32"/>
        </w:rPr>
        <w:t>综合得分为：F1+F2+F3</w:t>
      </w:r>
    </w:p>
    <w:p w14:paraId="43503F53">
      <w:pPr>
        <w:tabs>
          <w:tab w:val="left" w:pos="720"/>
          <w:tab w:val="right" w:leader="dot" w:pos="9062"/>
        </w:tabs>
        <w:adjustRightInd w:val="0"/>
        <w:spacing w:before="120" w:beforeLines="50" w:line="400" w:lineRule="exact"/>
        <w:ind w:firstLine="482" w:firstLineChars="200"/>
        <w:jc w:val="left"/>
        <w:textAlignment w:val="baseline"/>
        <w:rPr>
          <w:rFonts w:ascii="Times New Roman" w:hAnsi="Times New Roman" w:cs="Times New Roman"/>
          <w:b/>
          <w:smallCaps/>
          <w:kern w:val="0"/>
          <w:sz w:val="24"/>
          <w:szCs w:val="32"/>
        </w:rPr>
      </w:pPr>
      <w:bookmarkStart w:id="32" w:name="_Toc7847"/>
      <w:r>
        <w:rPr>
          <w:rFonts w:ascii="Times New Roman" w:hAnsi="Times New Roman" w:cs="Times New Roman"/>
          <w:b/>
          <w:smallCaps/>
          <w:kern w:val="0"/>
          <w:sz w:val="24"/>
          <w:szCs w:val="32"/>
        </w:rPr>
        <w:t>5.1 商务部分</w:t>
      </w:r>
      <w:bookmarkEnd w:id="32"/>
      <w:bookmarkStart w:id="33" w:name="_Toc7342"/>
      <w:r>
        <w:rPr>
          <w:rFonts w:ascii="Times New Roman" w:hAnsi="Times New Roman" w:cs="Times New Roman"/>
          <w:b/>
          <w:smallCaps/>
          <w:kern w:val="0"/>
          <w:sz w:val="24"/>
          <w:szCs w:val="32"/>
        </w:rPr>
        <w:t>（F1：20分）</w:t>
      </w:r>
    </w:p>
    <w:tbl>
      <w:tblPr>
        <w:tblStyle w:val="6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821"/>
        <w:gridCol w:w="7255"/>
      </w:tblGrid>
      <w:tr w14:paraId="2F59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pct"/>
            <w:vAlign w:val="center"/>
          </w:tcPr>
          <w:p w14:paraId="789A3EBF">
            <w:pPr>
              <w:widowControl/>
              <w:adjustRightInd w:val="0"/>
              <w:snapToGrid w:val="0"/>
              <w:jc w:val="center"/>
              <w:rPr>
                <w:rFonts w:ascii="Times New Roman" w:hAnsi="Times New Roman" w:eastAsia="宋体" w:cs="Times New Roman"/>
                <w:kern w:val="0"/>
                <w:szCs w:val="24"/>
                <w:lang w:bidi="ar"/>
              </w:rPr>
            </w:pPr>
            <w:r>
              <w:rPr>
                <w:rFonts w:hint="eastAsia" w:ascii="Times New Roman" w:hAnsi="Times New Roman" w:eastAsia="宋体" w:cs="Times New Roman"/>
                <w:kern w:val="0"/>
                <w:szCs w:val="24"/>
                <w:lang w:bidi="ar"/>
              </w:rPr>
              <w:t>评标项目</w:t>
            </w:r>
          </w:p>
        </w:tc>
        <w:tc>
          <w:tcPr>
            <w:tcW w:w="442" w:type="pct"/>
            <w:vAlign w:val="center"/>
          </w:tcPr>
          <w:p w14:paraId="50661F4B">
            <w:pPr>
              <w:widowControl/>
              <w:adjustRightInd w:val="0"/>
              <w:snapToGrid w:val="0"/>
              <w:jc w:val="center"/>
              <w:rPr>
                <w:rFonts w:ascii="Times New Roman" w:hAnsi="Times New Roman" w:eastAsia="宋体" w:cs="Times New Roman"/>
                <w:kern w:val="0"/>
                <w:szCs w:val="24"/>
                <w:lang w:bidi="ar"/>
              </w:rPr>
            </w:pPr>
            <w:r>
              <w:rPr>
                <w:rFonts w:hint="eastAsia" w:ascii="Times New Roman" w:hAnsi="Times New Roman" w:eastAsia="宋体" w:cs="Times New Roman"/>
                <w:kern w:val="0"/>
                <w:szCs w:val="24"/>
                <w:lang w:bidi="ar"/>
              </w:rPr>
              <w:t>评标分值</w:t>
            </w:r>
          </w:p>
        </w:tc>
        <w:tc>
          <w:tcPr>
            <w:tcW w:w="3907" w:type="pct"/>
            <w:vAlign w:val="center"/>
          </w:tcPr>
          <w:p w14:paraId="78CB6E76">
            <w:pPr>
              <w:widowControl/>
              <w:adjustRightInd w:val="0"/>
              <w:snapToGrid w:val="0"/>
              <w:jc w:val="center"/>
              <w:rPr>
                <w:rFonts w:ascii="Times New Roman" w:hAnsi="Times New Roman" w:eastAsia="宋体" w:cs="Times New Roman"/>
                <w:kern w:val="0"/>
                <w:szCs w:val="24"/>
                <w:lang w:bidi="ar"/>
              </w:rPr>
            </w:pPr>
            <w:r>
              <w:rPr>
                <w:rFonts w:hint="eastAsia" w:ascii="Times New Roman" w:hAnsi="Times New Roman" w:eastAsia="宋体" w:cs="Times New Roman"/>
                <w:kern w:val="0"/>
                <w:szCs w:val="24"/>
                <w:lang w:bidi="ar"/>
              </w:rPr>
              <w:t>评标方法描述</w:t>
            </w:r>
          </w:p>
        </w:tc>
      </w:tr>
      <w:tr w14:paraId="599C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pct"/>
            <w:vAlign w:val="center"/>
          </w:tcPr>
          <w:p w14:paraId="1E3B088F">
            <w:pPr>
              <w:widowControl/>
              <w:adjustRightInd w:val="0"/>
              <w:snapToGrid w:val="0"/>
              <w:jc w:val="center"/>
              <w:rPr>
                <w:rFonts w:ascii="Times New Roman" w:hAnsi="Times New Roman" w:eastAsia="宋体" w:cs="Times New Roman"/>
                <w:kern w:val="0"/>
                <w:szCs w:val="24"/>
                <w:lang w:bidi="ar"/>
              </w:rPr>
            </w:pPr>
            <w:r>
              <w:rPr>
                <w:rFonts w:hint="eastAsia" w:ascii="Times New Roman" w:hAnsi="Times New Roman" w:eastAsia="宋体" w:cs="Times New Roman"/>
                <w:kern w:val="0"/>
                <w:szCs w:val="24"/>
                <w:lang w:bidi="ar"/>
              </w:rPr>
              <w:t>资质条件</w:t>
            </w:r>
          </w:p>
        </w:tc>
        <w:tc>
          <w:tcPr>
            <w:tcW w:w="442" w:type="pct"/>
            <w:vAlign w:val="center"/>
          </w:tcPr>
          <w:p w14:paraId="59C424EC">
            <w:pPr>
              <w:widowControl/>
              <w:adjustRightInd w:val="0"/>
              <w:snapToGrid w:val="0"/>
              <w:jc w:val="center"/>
              <w:rPr>
                <w:rFonts w:ascii="Times New Roman" w:hAnsi="Times New Roman" w:eastAsia="宋体" w:cs="Times New Roman"/>
                <w:kern w:val="0"/>
                <w:szCs w:val="24"/>
                <w:lang w:bidi="ar"/>
              </w:rPr>
            </w:pPr>
            <w:r>
              <w:rPr>
                <w:rFonts w:hint="eastAsia" w:ascii="Times New Roman" w:hAnsi="Times New Roman" w:eastAsia="宋体" w:cs="Times New Roman"/>
                <w:kern w:val="0"/>
                <w:szCs w:val="24"/>
                <w:lang w:bidi="ar"/>
              </w:rPr>
              <w:t>5</w:t>
            </w:r>
          </w:p>
        </w:tc>
        <w:tc>
          <w:tcPr>
            <w:tcW w:w="3907" w:type="pct"/>
            <w:vAlign w:val="center"/>
          </w:tcPr>
          <w:p w14:paraId="0CAF38AD">
            <w:pPr>
              <w:widowControl/>
              <w:rPr>
                <w:rFonts w:ascii="Times New Roman" w:hAnsi="Times New Roman" w:cs="Times New Roman" w:eastAsiaTheme="minorEastAsia"/>
                <w:kern w:val="0"/>
                <w:szCs w:val="24"/>
                <w:lang w:bidi="ar"/>
              </w:rPr>
            </w:pPr>
            <w:r>
              <w:rPr>
                <w:rFonts w:ascii="Times New Roman" w:hAnsi="Times New Roman" w:cs="Times New Roman" w:eastAsiaTheme="minorEastAsia"/>
                <w:kern w:val="0"/>
                <w:szCs w:val="24"/>
                <w:lang w:bidi="ar"/>
              </w:rPr>
              <w:t>供应商至投标截止期注册会计师人数大于100人（含）得5分，100-61人（含）得3分，30~60人（含）得1分，其余情况不得分。</w:t>
            </w:r>
          </w:p>
          <w:p w14:paraId="4BFA3A54">
            <w:pPr>
              <w:widowControl/>
              <w:adjustRightInd w:val="0"/>
              <w:snapToGrid w:val="0"/>
              <w:rPr>
                <w:rFonts w:ascii="Times New Roman" w:hAnsi="Times New Roman" w:eastAsia="宋体" w:cs="Times New Roman"/>
                <w:kern w:val="0"/>
                <w:szCs w:val="24"/>
                <w:lang w:bidi="ar"/>
              </w:rPr>
            </w:pPr>
            <w:r>
              <w:rPr>
                <w:rFonts w:ascii="Times New Roman" w:hAnsi="Times New Roman" w:cs="Times New Roman" w:eastAsiaTheme="minorEastAsia"/>
                <w:kern w:val="0"/>
                <w:szCs w:val="24"/>
                <w:lang w:bidi="ar"/>
              </w:rPr>
              <w:t>注：供应商在编的注册会计师人数。须提供中国注册会计师协会行业管理信息系统查询截图并加盖公章。查询网址及步骤：https://cmis.cicpa.org.cn—事务所信息查询—输入名称—点击蓝色字体名称—查询注册会计师总数。</w:t>
            </w:r>
          </w:p>
        </w:tc>
      </w:tr>
      <w:tr w14:paraId="315B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pct"/>
            <w:vMerge w:val="restart"/>
            <w:vAlign w:val="center"/>
          </w:tcPr>
          <w:p w14:paraId="65DF9C1B">
            <w:pPr>
              <w:widowControl/>
              <w:adjustRightInd w:val="0"/>
              <w:snapToGrid w:val="0"/>
              <w:jc w:val="center"/>
              <w:rPr>
                <w:rFonts w:ascii="Times New Roman" w:hAnsi="Times New Roman" w:eastAsia="宋体" w:cs="Times New Roman"/>
                <w:kern w:val="0"/>
                <w:szCs w:val="24"/>
                <w:lang w:bidi="ar"/>
              </w:rPr>
            </w:pPr>
            <w:r>
              <w:rPr>
                <w:rFonts w:hint="eastAsia" w:ascii="Times New Roman" w:hAnsi="Times New Roman" w:eastAsia="宋体" w:cs="Times New Roman"/>
                <w:kern w:val="0"/>
                <w:szCs w:val="24"/>
                <w:lang w:bidi="ar"/>
              </w:rPr>
              <w:t>执业记录</w:t>
            </w:r>
          </w:p>
        </w:tc>
        <w:tc>
          <w:tcPr>
            <w:tcW w:w="442" w:type="pct"/>
            <w:vAlign w:val="center"/>
          </w:tcPr>
          <w:p w14:paraId="4E74A594">
            <w:pPr>
              <w:widowControl/>
              <w:adjustRightInd w:val="0"/>
              <w:snapToGrid w:val="0"/>
              <w:jc w:val="center"/>
              <w:rPr>
                <w:rFonts w:ascii="Times New Roman" w:hAnsi="Times New Roman" w:eastAsia="宋体" w:cs="Times New Roman"/>
                <w:kern w:val="0"/>
                <w:szCs w:val="24"/>
                <w:lang w:bidi="ar"/>
              </w:rPr>
            </w:pPr>
            <w:r>
              <w:rPr>
                <w:rFonts w:ascii="Times New Roman" w:hAnsi="Times New Roman" w:eastAsia="宋体" w:cs="Times New Roman"/>
                <w:kern w:val="0"/>
                <w:szCs w:val="24"/>
                <w:lang w:bidi="ar"/>
              </w:rPr>
              <w:t>6</w:t>
            </w:r>
          </w:p>
        </w:tc>
        <w:tc>
          <w:tcPr>
            <w:tcW w:w="3907" w:type="pct"/>
            <w:vAlign w:val="center"/>
          </w:tcPr>
          <w:p w14:paraId="5B1DFB9A">
            <w:pPr>
              <w:widowControl/>
              <w:rPr>
                <w:rFonts w:ascii="Times New Roman" w:hAnsi="Times New Roman" w:cs="Times New Roman" w:eastAsiaTheme="minorEastAsia"/>
                <w:szCs w:val="24"/>
              </w:rPr>
            </w:pPr>
            <w:r>
              <w:rPr>
                <w:rFonts w:ascii="Times New Roman" w:hAnsi="Times New Roman" w:cs="Times New Roman" w:eastAsiaTheme="minorEastAsia"/>
                <w:szCs w:val="24"/>
              </w:rPr>
              <w:t>根据供应商2021~2025年</w:t>
            </w:r>
            <w:r>
              <w:rPr>
                <w:rFonts w:ascii="Times New Roman" w:hAnsi="Times New Roman" w:cs="Times New Roman" w:eastAsiaTheme="minorEastAsia"/>
                <w:szCs w:val="24"/>
                <w:u w:val="single"/>
              </w:rPr>
              <w:t>新三板挂牌成功项目</w:t>
            </w:r>
            <w:r>
              <w:rPr>
                <w:rFonts w:ascii="Times New Roman" w:hAnsi="Times New Roman" w:cs="Times New Roman" w:eastAsiaTheme="minorEastAsia"/>
                <w:szCs w:val="24"/>
              </w:rPr>
              <w:t>或</w:t>
            </w:r>
            <w:r>
              <w:rPr>
                <w:rFonts w:ascii="Times New Roman" w:hAnsi="Times New Roman" w:cs="Times New Roman" w:eastAsiaTheme="minorEastAsia"/>
                <w:szCs w:val="24"/>
                <w:u w:val="single"/>
              </w:rPr>
              <w:t>IPO成功项目</w:t>
            </w:r>
            <w:r>
              <w:rPr>
                <w:rFonts w:ascii="Times New Roman" w:hAnsi="Times New Roman" w:cs="Times New Roman" w:eastAsiaTheme="minorEastAsia"/>
                <w:szCs w:val="24"/>
              </w:rPr>
              <w:t>数量情况进行评分（按附表1格式填写），每具有一项</w:t>
            </w:r>
            <w:r>
              <w:rPr>
                <w:rFonts w:ascii="Times New Roman" w:hAnsi="Times New Roman" w:cs="Times New Roman" w:eastAsiaTheme="minorEastAsia"/>
                <w:szCs w:val="24"/>
                <w:u w:val="single"/>
              </w:rPr>
              <w:t>成功项目</w:t>
            </w:r>
            <w:r>
              <w:rPr>
                <w:rFonts w:ascii="Times New Roman" w:hAnsi="Times New Roman" w:cs="Times New Roman" w:eastAsiaTheme="minorEastAsia"/>
                <w:szCs w:val="24"/>
              </w:rPr>
              <w:t>业绩得2分，满分6分。</w:t>
            </w:r>
          </w:p>
          <w:p w14:paraId="7CE67D1F">
            <w:pPr>
              <w:widowControl/>
              <w:adjustRightInd w:val="0"/>
              <w:snapToGrid w:val="0"/>
              <w:rPr>
                <w:rFonts w:ascii="Times New Roman" w:hAnsi="Times New Roman" w:eastAsia="宋体" w:cs="Times New Roman"/>
                <w:kern w:val="0"/>
                <w:szCs w:val="24"/>
                <w:lang w:bidi="ar"/>
              </w:rPr>
            </w:pPr>
            <w:r>
              <w:rPr>
                <w:rFonts w:ascii="Times New Roman" w:hAnsi="Times New Roman" w:cs="Times New Roman" w:eastAsiaTheme="minorEastAsia"/>
                <w:szCs w:val="24"/>
              </w:rPr>
              <w:t>注：提供巨潮资讯网、同花顺或证监会或交易所等网络可查询到的上市公司行业分类信息关键页面等有效的证明材料，并提供网页页面截图；材料应加盖公章，否则不得分。</w:t>
            </w:r>
          </w:p>
        </w:tc>
      </w:tr>
      <w:tr w14:paraId="7C82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pct"/>
            <w:vMerge w:val="continue"/>
            <w:vAlign w:val="center"/>
          </w:tcPr>
          <w:p w14:paraId="0EFBA953">
            <w:pPr>
              <w:widowControl/>
              <w:adjustRightInd w:val="0"/>
              <w:snapToGrid w:val="0"/>
              <w:jc w:val="center"/>
              <w:rPr>
                <w:rFonts w:ascii="Times New Roman" w:hAnsi="Times New Roman" w:eastAsia="宋体" w:cs="Times New Roman"/>
                <w:kern w:val="0"/>
                <w:szCs w:val="24"/>
                <w:lang w:bidi="ar"/>
              </w:rPr>
            </w:pPr>
          </w:p>
        </w:tc>
        <w:tc>
          <w:tcPr>
            <w:tcW w:w="442" w:type="pct"/>
            <w:vAlign w:val="center"/>
          </w:tcPr>
          <w:p w14:paraId="679B828F">
            <w:pPr>
              <w:widowControl/>
              <w:adjustRightInd w:val="0"/>
              <w:snapToGrid w:val="0"/>
              <w:jc w:val="center"/>
              <w:rPr>
                <w:rFonts w:ascii="Times New Roman" w:hAnsi="Times New Roman" w:eastAsia="宋体" w:cs="Times New Roman"/>
                <w:kern w:val="0"/>
                <w:szCs w:val="24"/>
                <w:lang w:bidi="ar"/>
              </w:rPr>
            </w:pPr>
            <w:r>
              <w:rPr>
                <w:rFonts w:ascii="Times New Roman" w:hAnsi="Times New Roman" w:eastAsia="宋体" w:cs="Times New Roman"/>
                <w:kern w:val="0"/>
                <w:szCs w:val="24"/>
                <w:lang w:bidi="ar"/>
              </w:rPr>
              <w:t>3</w:t>
            </w:r>
          </w:p>
        </w:tc>
        <w:tc>
          <w:tcPr>
            <w:tcW w:w="3907" w:type="pct"/>
            <w:vAlign w:val="center"/>
          </w:tcPr>
          <w:p w14:paraId="23EA1F76">
            <w:pPr>
              <w:widowControl/>
              <w:rPr>
                <w:rFonts w:ascii="Times New Roman" w:hAnsi="Times New Roman" w:cs="Times New Roman" w:eastAsiaTheme="minorEastAsia"/>
                <w:szCs w:val="24"/>
              </w:rPr>
            </w:pPr>
            <w:r>
              <w:rPr>
                <w:rFonts w:ascii="Times New Roman" w:hAnsi="Times New Roman" w:cs="Times New Roman" w:eastAsiaTheme="minorEastAsia"/>
                <w:szCs w:val="24"/>
              </w:rPr>
              <w:t>根据供应商2021~2025年</w:t>
            </w:r>
            <w:r>
              <w:rPr>
                <w:rFonts w:ascii="Times New Roman" w:hAnsi="Times New Roman" w:cs="Times New Roman" w:eastAsiaTheme="minorEastAsia"/>
                <w:szCs w:val="24"/>
                <w:u w:val="single"/>
              </w:rPr>
              <w:t>服务同行业（咨询服务业）过会经验</w:t>
            </w:r>
            <w:r>
              <w:rPr>
                <w:rFonts w:ascii="Times New Roman" w:hAnsi="Times New Roman" w:cs="Times New Roman" w:eastAsiaTheme="minorEastAsia"/>
                <w:szCs w:val="24"/>
              </w:rPr>
              <w:t>项目数量情况进行评分（按附表2格式填写），每具有一项成功项目业绩得3分，满分3分。</w:t>
            </w:r>
          </w:p>
          <w:p w14:paraId="33A92F24">
            <w:pPr>
              <w:widowControl/>
              <w:adjustRightInd w:val="0"/>
              <w:snapToGrid w:val="0"/>
              <w:rPr>
                <w:rFonts w:ascii="Times New Roman" w:hAnsi="Times New Roman" w:eastAsia="宋体" w:cs="Times New Roman"/>
                <w:szCs w:val="24"/>
              </w:rPr>
            </w:pPr>
            <w:r>
              <w:rPr>
                <w:rFonts w:ascii="Times New Roman" w:hAnsi="Times New Roman" w:cs="Times New Roman" w:eastAsiaTheme="minorEastAsia"/>
                <w:szCs w:val="24"/>
              </w:rPr>
              <w:t>注：提供巨潮资讯网、同花顺或证监会或交易所等网络可查询到的上市公司行业分类信息关键页面等有效的证明材料，并提供网页页面截图；材料应加盖公章，否则不得分。</w:t>
            </w:r>
          </w:p>
        </w:tc>
      </w:tr>
      <w:tr w14:paraId="2250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pct"/>
            <w:vAlign w:val="center"/>
          </w:tcPr>
          <w:p w14:paraId="2E037C41">
            <w:pPr>
              <w:widowControl/>
              <w:adjustRightInd w:val="0"/>
              <w:snapToGrid w:val="0"/>
              <w:jc w:val="center"/>
              <w:rPr>
                <w:rFonts w:ascii="Times New Roman" w:hAnsi="Times New Roman" w:eastAsia="宋体" w:cs="Times New Roman"/>
                <w:kern w:val="0"/>
                <w:szCs w:val="24"/>
                <w:lang w:bidi="ar"/>
              </w:rPr>
            </w:pPr>
            <w:r>
              <w:rPr>
                <w:rFonts w:hint="eastAsia" w:ascii="Times New Roman" w:hAnsi="Times New Roman" w:eastAsia="宋体" w:cs="Times New Roman"/>
                <w:kern w:val="0"/>
                <w:szCs w:val="24"/>
                <w:lang w:bidi="ar"/>
              </w:rPr>
              <w:t>人力及其他资源配备</w:t>
            </w:r>
          </w:p>
        </w:tc>
        <w:tc>
          <w:tcPr>
            <w:tcW w:w="442" w:type="pct"/>
            <w:vAlign w:val="center"/>
          </w:tcPr>
          <w:p w14:paraId="56C282C8">
            <w:pPr>
              <w:widowControl/>
              <w:adjustRightInd w:val="0"/>
              <w:snapToGrid w:val="0"/>
              <w:jc w:val="center"/>
              <w:rPr>
                <w:rFonts w:ascii="Times New Roman" w:hAnsi="Times New Roman" w:eastAsia="宋体" w:cs="Times New Roman"/>
                <w:kern w:val="0"/>
                <w:szCs w:val="24"/>
                <w:lang w:bidi="ar"/>
              </w:rPr>
            </w:pPr>
            <w:r>
              <w:rPr>
                <w:rFonts w:hint="eastAsia" w:ascii="Times New Roman" w:hAnsi="Times New Roman" w:eastAsia="宋体" w:cs="Times New Roman"/>
                <w:kern w:val="0"/>
                <w:szCs w:val="24"/>
                <w:lang w:bidi="ar"/>
              </w:rPr>
              <w:t>3</w:t>
            </w:r>
          </w:p>
        </w:tc>
        <w:tc>
          <w:tcPr>
            <w:tcW w:w="3907" w:type="pct"/>
            <w:vAlign w:val="center"/>
          </w:tcPr>
          <w:p w14:paraId="4F7F1CC1">
            <w:pPr>
              <w:widowControl/>
              <w:rPr>
                <w:rFonts w:ascii="Times New Roman" w:hAnsi="Times New Roman" w:cs="Times New Roman" w:eastAsiaTheme="minorEastAsia"/>
                <w:bCs/>
                <w:szCs w:val="24"/>
              </w:rPr>
            </w:pPr>
            <w:r>
              <w:rPr>
                <w:rFonts w:ascii="Times New Roman" w:hAnsi="Times New Roman" w:cs="Times New Roman" w:eastAsiaTheme="minorEastAsia"/>
                <w:bCs/>
                <w:szCs w:val="24"/>
              </w:rPr>
              <w:t>项目负责人及现场负责人均为注册会计师，且现场负责人具备5年以上审计工作经验和</w:t>
            </w:r>
            <w:r>
              <w:rPr>
                <w:rFonts w:ascii="Times New Roman" w:hAnsi="Times New Roman" w:cs="Times New Roman" w:eastAsiaTheme="minorEastAsia"/>
                <w:szCs w:val="24"/>
              </w:rPr>
              <w:t>新三板挂牌或</w:t>
            </w:r>
            <w:r>
              <w:rPr>
                <w:rFonts w:ascii="Times New Roman" w:hAnsi="Times New Roman" w:cs="Times New Roman" w:eastAsiaTheme="minorEastAsia"/>
                <w:bCs/>
                <w:szCs w:val="24"/>
              </w:rPr>
              <w:t>IPO上市审计带队工作经验的，得3分，其他情况不得分。</w:t>
            </w:r>
          </w:p>
          <w:p w14:paraId="0EF32EA0">
            <w:pPr>
              <w:widowControl/>
              <w:adjustRightInd w:val="0"/>
              <w:snapToGrid w:val="0"/>
              <w:rPr>
                <w:rFonts w:ascii="Times New Roman" w:hAnsi="Times New Roman" w:eastAsia="宋体" w:cs="Times New Roman"/>
                <w:kern w:val="0"/>
                <w:szCs w:val="24"/>
                <w:lang w:bidi="ar"/>
              </w:rPr>
            </w:pPr>
            <w:r>
              <w:rPr>
                <w:rFonts w:ascii="Times New Roman" w:hAnsi="Times New Roman" w:cs="Times New Roman" w:eastAsiaTheme="minorEastAsia"/>
                <w:szCs w:val="24"/>
              </w:rPr>
              <w:t>注：须提供项目负责人、现场负责人相关证书复印件及业绩证明材料，并加盖供应商公章。</w:t>
            </w:r>
          </w:p>
        </w:tc>
      </w:tr>
      <w:tr w14:paraId="0646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pct"/>
            <w:vAlign w:val="center"/>
          </w:tcPr>
          <w:p w14:paraId="03937F65">
            <w:pPr>
              <w:widowControl/>
              <w:adjustRightInd w:val="0"/>
              <w:snapToGrid w:val="0"/>
              <w:jc w:val="center"/>
              <w:rPr>
                <w:rFonts w:ascii="Times New Roman" w:hAnsi="Times New Roman" w:eastAsia="宋体" w:cs="Times New Roman"/>
                <w:kern w:val="0"/>
                <w:szCs w:val="24"/>
                <w:lang w:bidi="ar"/>
              </w:rPr>
            </w:pPr>
            <w:r>
              <w:rPr>
                <w:rFonts w:hint="eastAsia" w:ascii="Times New Roman" w:hAnsi="Times New Roman" w:eastAsia="宋体" w:cs="Times New Roman"/>
                <w:kern w:val="0"/>
                <w:szCs w:val="24"/>
                <w:lang w:bidi="ar"/>
              </w:rPr>
              <w:t>认证体系</w:t>
            </w:r>
          </w:p>
        </w:tc>
        <w:tc>
          <w:tcPr>
            <w:tcW w:w="442" w:type="pct"/>
            <w:vAlign w:val="center"/>
          </w:tcPr>
          <w:p w14:paraId="4C8AEE14">
            <w:pPr>
              <w:widowControl/>
              <w:adjustRightInd w:val="0"/>
              <w:snapToGrid w:val="0"/>
              <w:jc w:val="center"/>
              <w:rPr>
                <w:rFonts w:ascii="Times New Roman" w:hAnsi="Times New Roman" w:eastAsia="宋体" w:cs="Times New Roman"/>
                <w:kern w:val="0"/>
                <w:szCs w:val="24"/>
                <w:lang w:bidi="ar"/>
              </w:rPr>
            </w:pPr>
            <w:r>
              <w:rPr>
                <w:rFonts w:hint="eastAsia" w:ascii="Times New Roman" w:hAnsi="Times New Roman" w:eastAsia="宋体" w:cs="Times New Roman"/>
                <w:kern w:val="0"/>
                <w:szCs w:val="24"/>
                <w:lang w:bidi="ar"/>
              </w:rPr>
              <w:t>3</w:t>
            </w:r>
          </w:p>
        </w:tc>
        <w:tc>
          <w:tcPr>
            <w:tcW w:w="3907" w:type="pct"/>
            <w:vAlign w:val="center"/>
          </w:tcPr>
          <w:p w14:paraId="08DC4B70">
            <w:pPr>
              <w:widowControl/>
              <w:adjustRightInd w:val="0"/>
              <w:snapToGrid w:val="0"/>
              <w:rPr>
                <w:rFonts w:ascii="Times New Roman" w:hAnsi="Times New Roman" w:eastAsia="宋体" w:cs="Times New Roman"/>
                <w:kern w:val="0"/>
                <w:szCs w:val="24"/>
                <w:lang w:bidi="ar"/>
              </w:rPr>
            </w:pPr>
            <w:r>
              <w:rPr>
                <w:rFonts w:ascii="Times New Roman" w:hAnsi="Times New Roman" w:cs="Times New Roman" w:eastAsiaTheme="minorEastAsia"/>
                <w:kern w:val="0"/>
                <w:szCs w:val="24"/>
                <w:lang w:bidi="ar"/>
              </w:rPr>
              <w:t>供应商具有有效的质量管理体系认证、环境管理体系认证、职业健康安全管理体系认证的，每具有1项得1分，最高得3分。需提供有效证书复印件，并加盖供应商公章。</w:t>
            </w:r>
          </w:p>
        </w:tc>
      </w:tr>
    </w:tbl>
    <w:p w14:paraId="61E0536E">
      <w:pPr>
        <w:pStyle w:val="17"/>
        <w:ind w:firstLine="360"/>
        <w:rPr>
          <w:rFonts w:ascii="Times New Roman" w:hAnsi="Times New Roman" w:cs="Times New Roman"/>
          <w:sz w:val="18"/>
          <w:highlight w:val="yellow"/>
        </w:rPr>
      </w:pPr>
    </w:p>
    <w:p w14:paraId="75ED8530">
      <w:pPr>
        <w:tabs>
          <w:tab w:val="left" w:pos="720"/>
          <w:tab w:val="right" w:leader="dot" w:pos="9062"/>
        </w:tabs>
        <w:adjustRightInd w:val="0"/>
        <w:spacing w:before="120" w:beforeLines="50" w:line="400" w:lineRule="exact"/>
        <w:ind w:firstLine="482" w:firstLineChars="200"/>
        <w:jc w:val="left"/>
        <w:textAlignment w:val="baseline"/>
        <w:rPr>
          <w:rFonts w:ascii="Times New Roman" w:hAnsi="Times New Roman" w:cs="Times New Roman"/>
          <w:b/>
          <w:smallCaps/>
          <w:kern w:val="0"/>
          <w:sz w:val="24"/>
          <w:szCs w:val="32"/>
        </w:rPr>
      </w:pPr>
      <w:r>
        <w:rPr>
          <w:rFonts w:ascii="Times New Roman" w:hAnsi="Times New Roman" w:cs="Times New Roman"/>
          <w:b/>
          <w:smallCaps/>
          <w:kern w:val="0"/>
          <w:sz w:val="24"/>
          <w:szCs w:val="32"/>
        </w:rPr>
        <w:t>5.2 技术部分</w:t>
      </w:r>
      <w:bookmarkEnd w:id="33"/>
      <w:bookmarkStart w:id="34" w:name="_Toc15605"/>
      <w:r>
        <w:rPr>
          <w:rFonts w:ascii="Times New Roman" w:hAnsi="Times New Roman" w:cs="Times New Roman"/>
          <w:b/>
          <w:smallCaps/>
          <w:kern w:val="0"/>
          <w:sz w:val="24"/>
          <w:szCs w:val="32"/>
        </w:rPr>
        <w:t>（F2：65分）</w:t>
      </w:r>
    </w:p>
    <w:tbl>
      <w:tblPr>
        <w:tblStyle w:val="6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32"/>
        <w:gridCol w:w="7239"/>
      </w:tblGrid>
      <w:tr w14:paraId="058A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4" w:type="pct"/>
            <w:vAlign w:val="center"/>
          </w:tcPr>
          <w:p w14:paraId="341B87A9">
            <w:pPr>
              <w:widowControl/>
              <w:jc w:val="center"/>
              <w:rPr>
                <w:rFonts w:ascii="Times New Roman" w:hAnsi="Times New Roman" w:eastAsia="宋体" w:cs="Times New Roman"/>
                <w:szCs w:val="24"/>
              </w:rPr>
            </w:pPr>
            <w:r>
              <w:rPr>
                <w:rFonts w:ascii="Times New Roman" w:hAnsi="Times New Roman" w:eastAsia="宋体" w:cs="Times New Roman"/>
                <w:kern w:val="0"/>
                <w:szCs w:val="24"/>
                <w:lang w:bidi="ar"/>
              </w:rPr>
              <w:t>评标项目</w:t>
            </w:r>
          </w:p>
        </w:tc>
        <w:tc>
          <w:tcPr>
            <w:tcW w:w="448" w:type="pct"/>
            <w:vAlign w:val="center"/>
          </w:tcPr>
          <w:p w14:paraId="1F3036BD">
            <w:pPr>
              <w:widowControl/>
              <w:jc w:val="center"/>
              <w:rPr>
                <w:rFonts w:ascii="Times New Roman" w:hAnsi="Times New Roman" w:eastAsia="宋体" w:cs="Times New Roman"/>
                <w:kern w:val="0"/>
                <w:szCs w:val="24"/>
                <w:lang w:bidi="ar"/>
              </w:rPr>
            </w:pPr>
            <w:r>
              <w:rPr>
                <w:rFonts w:ascii="Times New Roman" w:hAnsi="Times New Roman" w:eastAsia="宋体" w:cs="Times New Roman"/>
                <w:kern w:val="0"/>
                <w:szCs w:val="24"/>
                <w:lang w:bidi="ar"/>
              </w:rPr>
              <w:t>评标</w:t>
            </w:r>
          </w:p>
          <w:p w14:paraId="17B0AA0F">
            <w:pPr>
              <w:widowControl/>
              <w:jc w:val="center"/>
              <w:rPr>
                <w:rFonts w:ascii="Times New Roman" w:hAnsi="Times New Roman" w:eastAsia="宋体" w:cs="Times New Roman"/>
                <w:szCs w:val="24"/>
              </w:rPr>
            </w:pPr>
            <w:r>
              <w:rPr>
                <w:rFonts w:ascii="Times New Roman" w:hAnsi="Times New Roman" w:eastAsia="宋体" w:cs="Times New Roman"/>
                <w:kern w:val="0"/>
                <w:szCs w:val="24"/>
                <w:lang w:bidi="ar"/>
              </w:rPr>
              <w:t>分值</w:t>
            </w:r>
          </w:p>
        </w:tc>
        <w:tc>
          <w:tcPr>
            <w:tcW w:w="3898" w:type="pct"/>
            <w:vAlign w:val="center"/>
          </w:tcPr>
          <w:p w14:paraId="6F78BA2B">
            <w:pPr>
              <w:widowControl/>
              <w:jc w:val="center"/>
              <w:rPr>
                <w:rFonts w:ascii="Times New Roman" w:hAnsi="Times New Roman" w:eastAsia="宋体" w:cs="Times New Roman"/>
                <w:szCs w:val="24"/>
              </w:rPr>
            </w:pPr>
            <w:r>
              <w:rPr>
                <w:rFonts w:ascii="Times New Roman" w:hAnsi="Times New Roman" w:eastAsia="宋体" w:cs="Times New Roman"/>
                <w:kern w:val="0"/>
                <w:szCs w:val="24"/>
                <w:lang w:bidi="ar"/>
              </w:rPr>
              <w:t>评标方法描述</w:t>
            </w:r>
          </w:p>
        </w:tc>
      </w:tr>
      <w:tr w14:paraId="2705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4" w:type="pct"/>
            <w:vAlign w:val="center"/>
          </w:tcPr>
          <w:p w14:paraId="3E41884D">
            <w:pPr>
              <w:widowControl/>
              <w:jc w:val="center"/>
              <w:rPr>
                <w:rFonts w:ascii="Times New Roman" w:hAnsi="Times New Roman" w:eastAsia="宋体" w:cs="Times New Roman"/>
                <w:szCs w:val="24"/>
              </w:rPr>
            </w:pPr>
            <w:r>
              <w:rPr>
                <w:rFonts w:hint="eastAsia" w:ascii="Times New Roman" w:hAnsi="Times New Roman" w:eastAsia="宋体" w:cs="Times New Roman"/>
                <w:szCs w:val="24"/>
              </w:rPr>
              <w:t>质量管理水平</w:t>
            </w:r>
          </w:p>
        </w:tc>
        <w:tc>
          <w:tcPr>
            <w:tcW w:w="448" w:type="pct"/>
            <w:vAlign w:val="center"/>
          </w:tcPr>
          <w:p w14:paraId="7316DA6B">
            <w:pPr>
              <w:widowControl/>
              <w:jc w:val="center"/>
              <w:rPr>
                <w:rFonts w:ascii="Times New Roman" w:hAnsi="Times New Roman" w:eastAsia="宋体" w:cs="Times New Roman"/>
                <w:szCs w:val="24"/>
              </w:rPr>
            </w:pPr>
            <w:r>
              <w:rPr>
                <w:rFonts w:hint="eastAsia" w:ascii="Times New Roman" w:hAnsi="Times New Roman" w:eastAsia="宋体" w:cs="Times New Roman"/>
                <w:szCs w:val="24"/>
              </w:rPr>
              <w:t>4</w:t>
            </w:r>
            <w:r>
              <w:rPr>
                <w:rFonts w:ascii="Times New Roman" w:hAnsi="Times New Roman" w:eastAsia="宋体" w:cs="Times New Roman"/>
                <w:szCs w:val="24"/>
              </w:rPr>
              <w:t>0</w:t>
            </w:r>
          </w:p>
        </w:tc>
        <w:tc>
          <w:tcPr>
            <w:tcW w:w="3898" w:type="pct"/>
            <w:vAlign w:val="center"/>
          </w:tcPr>
          <w:p w14:paraId="4EC64304">
            <w:pPr>
              <w:widowControl/>
              <w:rPr>
                <w:rFonts w:ascii="Times New Roman" w:hAnsi="Times New Roman" w:eastAsia="宋体" w:cs="Times New Roman"/>
                <w:szCs w:val="24"/>
              </w:rPr>
            </w:pPr>
            <w:r>
              <w:rPr>
                <w:rFonts w:ascii="Times New Roman" w:hAnsi="Times New Roman" w:cs="Times New Roman" w:eastAsiaTheme="minorEastAsia"/>
                <w:kern w:val="0"/>
                <w:szCs w:val="24"/>
                <w:lang w:val="zh-CN" w:bidi="ar"/>
              </w:rPr>
              <w:t>根据供应商提供的</w:t>
            </w:r>
            <w:r>
              <w:rPr>
                <w:rFonts w:ascii="Times New Roman" w:hAnsi="Times New Roman" w:cs="Times New Roman" w:eastAsiaTheme="minorEastAsia"/>
                <w:kern w:val="0"/>
                <w:szCs w:val="24"/>
                <w:lang w:bidi="ar"/>
              </w:rPr>
              <w:t>质量管理水平及实施情况</w:t>
            </w:r>
            <w:r>
              <w:rPr>
                <w:rFonts w:ascii="Times New Roman" w:hAnsi="Times New Roman" w:cs="Times New Roman" w:eastAsiaTheme="minorEastAsia"/>
                <w:kern w:val="0"/>
                <w:szCs w:val="24"/>
                <w:lang w:val="zh-CN" w:bidi="ar"/>
              </w:rPr>
              <w:t>（包含项目咨询、意见分歧解决、项目质量复核、项目质量检查、质量管理缺陷识别与整改等方面的政策与程序）、内部防火墙隔离机制、避免利益冲突的措施、保密制度和监督措施，由评委进行横向对比打分：</w:t>
            </w:r>
            <w:r>
              <w:rPr>
                <w:rFonts w:ascii="Times New Roman" w:hAnsi="Times New Roman" w:cs="Times New Roman" w:eastAsiaTheme="minorEastAsia"/>
                <w:kern w:val="0"/>
                <w:szCs w:val="24"/>
                <w:lang w:bidi="ar"/>
              </w:rPr>
              <w:t>质量管理水平及实施情况</w:t>
            </w:r>
            <w:r>
              <w:rPr>
                <w:rFonts w:ascii="Times New Roman" w:hAnsi="Times New Roman" w:cs="Times New Roman" w:eastAsiaTheme="minorEastAsia"/>
                <w:kern w:val="0"/>
                <w:szCs w:val="24"/>
                <w:lang w:val="zh-CN" w:bidi="ar"/>
              </w:rPr>
              <w:t>符合招标文件要求，主线清晰、技术思路与方法可行的得30~40分；提供的</w:t>
            </w:r>
            <w:r>
              <w:rPr>
                <w:rFonts w:ascii="Times New Roman" w:hAnsi="Times New Roman" w:cs="Times New Roman" w:eastAsiaTheme="minorEastAsia"/>
                <w:kern w:val="0"/>
                <w:szCs w:val="24"/>
                <w:lang w:bidi="ar"/>
              </w:rPr>
              <w:t>质量管理水平</w:t>
            </w:r>
            <w:r>
              <w:rPr>
                <w:rFonts w:ascii="Times New Roman" w:hAnsi="Times New Roman" w:cs="Times New Roman" w:eastAsiaTheme="minorEastAsia"/>
                <w:kern w:val="0"/>
                <w:szCs w:val="24"/>
                <w:lang w:val="zh-CN" w:bidi="ar"/>
              </w:rPr>
              <w:t>方案较符合招标文件要求，主线较清晰、技术思路与方法较可行的得15~29分；提供的</w:t>
            </w:r>
            <w:r>
              <w:rPr>
                <w:rFonts w:ascii="Times New Roman" w:hAnsi="Times New Roman" w:cs="Times New Roman" w:eastAsiaTheme="minorEastAsia"/>
                <w:kern w:val="0"/>
                <w:szCs w:val="24"/>
                <w:lang w:bidi="ar"/>
              </w:rPr>
              <w:t>质量管理水平及实施情况</w:t>
            </w:r>
            <w:r>
              <w:rPr>
                <w:rFonts w:ascii="Times New Roman" w:hAnsi="Times New Roman" w:cs="Times New Roman" w:eastAsiaTheme="minorEastAsia"/>
                <w:kern w:val="0"/>
                <w:szCs w:val="24"/>
                <w:lang w:val="zh-CN" w:bidi="ar"/>
              </w:rPr>
              <w:t>符合招标文件要求，但主线不太清晰、技术思路与方法可行性一般的得1~14分；</w:t>
            </w:r>
            <w:r>
              <w:rPr>
                <w:rFonts w:ascii="Times New Roman" w:hAnsi="Times New Roman" w:cs="Times New Roman" w:eastAsiaTheme="minorEastAsia"/>
                <w:kern w:val="0"/>
                <w:szCs w:val="24"/>
                <w:lang w:bidi="ar"/>
              </w:rPr>
              <w:t>质量管理水平及实施情况</w:t>
            </w:r>
            <w:r>
              <w:rPr>
                <w:rFonts w:ascii="Times New Roman" w:hAnsi="Times New Roman" w:cs="Times New Roman" w:eastAsiaTheme="minorEastAsia"/>
                <w:kern w:val="0"/>
                <w:szCs w:val="24"/>
                <w:lang w:val="zh-CN" w:bidi="ar"/>
              </w:rPr>
              <w:t>不全面或未提供的不得分。</w:t>
            </w:r>
          </w:p>
        </w:tc>
      </w:tr>
      <w:tr w14:paraId="5925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4" w:type="pct"/>
            <w:vAlign w:val="center"/>
          </w:tcPr>
          <w:p w14:paraId="246DAE13">
            <w:pPr>
              <w:widowControl/>
              <w:jc w:val="center"/>
              <w:rPr>
                <w:rFonts w:ascii="Times New Roman" w:hAnsi="Times New Roman" w:eastAsia="宋体" w:cs="Times New Roman"/>
                <w:kern w:val="0"/>
                <w:szCs w:val="24"/>
                <w:lang w:bidi="ar"/>
              </w:rPr>
            </w:pPr>
            <w:r>
              <w:rPr>
                <w:rFonts w:hint="eastAsia" w:ascii="Times New Roman" w:hAnsi="Times New Roman" w:eastAsia="宋体" w:cs="Times New Roman"/>
                <w:kern w:val="0"/>
                <w:szCs w:val="24"/>
                <w:lang w:bidi="ar"/>
              </w:rPr>
              <w:t>工作方案</w:t>
            </w:r>
          </w:p>
        </w:tc>
        <w:tc>
          <w:tcPr>
            <w:tcW w:w="448" w:type="pct"/>
            <w:vAlign w:val="center"/>
          </w:tcPr>
          <w:p w14:paraId="1EBBDA5C">
            <w:pPr>
              <w:widowControl/>
              <w:jc w:val="center"/>
              <w:rPr>
                <w:rFonts w:ascii="Times New Roman" w:hAnsi="Times New Roman" w:eastAsia="宋体" w:cs="Times New Roman"/>
                <w:kern w:val="0"/>
                <w:szCs w:val="24"/>
                <w:lang w:bidi="ar"/>
              </w:rPr>
            </w:pPr>
            <w:r>
              <w:rPr>
                <w:rFonts w:hint="eastAsia" w:ascii="Times New Roman" w:hAnsi="Times New Roman" w:eastAsia="宋体" w:cs="Times New Roman"/>
                <w:kern w:val="0"/>
                <w:szCs w:val="24"/>
                <w:lang w:bidi="ar"/>
              </w:rPr>
              <w:t>15</w:t>
            </w:r>
          </w:p>
        </w:tc>
        <w:tc>
          <w:tcPr>
            <w:tcW w:w="3898" w:type="pct"/>
            <w:vAlign w:val="center"/>
          </w:tcPr>
          <w:p w14:paraId="27B4AB87">
            <w:pPr>
              <w:widowControl/>
              <w:rPr>
                <w:rFonts w:ascii="Times New Roman" w:hAnsi="Times New Roman" w:eastAsia="宋体" w:cs="Times New Roman"/>
                <w:kern w:val="0"/>
                <w:szCs w:val="24"/>
                <w:lang w:bidi="ar"/>
              </w:rPr>
            </w:pPr>
            <w:r>
              <w:rPr>
                <w:rFonts w:ascii="Times New Roman" w:hAnsi="Times New Roman" w:cs="Times New Roman" w:eastAsiaTheme="minorEastAsia"/>
                <w:kern w:val="0"/>
              </w:rPr>
              <w:t>根据供应商提供的项目工作方案的可行性、可靠性、合理性情况（包括各项工作的工作流程、工作措施、进度保证（倒排时间）、工作标准、工作要求等内容），由评委进行评分：</w:t>
            </w:r>
            <w:r>
              <w:rPr>
                <w:rFonts w:ascii="Times New Roman" w:hAnsi="Times New Roman" w:cs="Times New Roman" w:eastAsiaTheme="minorEastAsia"/>
              </w:rPr>
              <w:t>方案包含的实施目标、范围、计划、程序、时间、方法、</w:t>
            </w:r>
            <w:r>
              <w:rPr>
                <w:rFonts w:ascii="Times New Roman" w:hAnsi="Times New Roman" w:cs="Times New Roman" w:eastAsiaTheme="minorEastAsia"/>
                <w:szCs w:val="24"/>
                <w:lang w:bidi="ar"/>
              </w:rPr>
              <w:t>工作和沟通机制、成果清单等</w:t>
            </w:r>
            <w:r>
              <w:rPr>
                <w:rFonts w:ascii="Times New Roman" w:hAnsi="Times New Roman" w:cs="Times New Roman" w:eastAsiaTheme="minorEastAsia"/>
              </w:rPr>
              <w:t>要点齐全无缺漏项、内容与要点相符、每个要点均有展开详细的阐述且能够适用于本项目得</w:t>
            </w:r>
            <w:r>
              <w:rPr>
                <w:rFonts w:ascii="Times New Roman" w:hAnsi="Times New Roman" w:cs="Times New Roman" w:eastAsiaTheme="minorEastAsia"/>
                <w:kern w:val="0"/>
                <w:szCs w:val="24"/>
                <w:lang w:bidi="ar"/>
              </w:rPr>
              <w:t>10</w:t>
            </w:r>
            <w:r>
              <w:rPr>
                <w:rFonts w:ascii="Times New Roman" w:hAnsi="Times New Roman" w:cs="Times New Roman" w:eastAsiaTheme="minorEastAsia"/>
                <w:kern w:val="0"/>
                <w:szCs w:val="24"/>
                <w:lang w:val="zh-CN" w:bidi="ar"/>
              </w:rPr>
              <w:t>~</w:t>
            </w:r>
            <w:r>
              <w:rPr>
                <w:rFonts w:ascii="Times New Roman" w:hAnsi="Times New Roman" w:cs="Times New Roman" w:eastAsiaTheme="minorEastAsia"/>
                <w:kern w:val="0"/>
                <w:szCs w:val="24"/>
                <w:lang w:bidi="ar"/>
              </w:rPr>
              <w:t>15</w:t>
            </w:r>
            <w:r>
              <w:rPr>
                <w:rFonts w:ascii="Times New Roman" w:hAnsi="Times New Roman" w:cs="Times New Roman" w:eastAsiaTheme="minorEastAsia"/>
              </w:rPr>
              <w:t>分；方案所包含的要点齐全、内容与要点相符、每个要点均有展开阐述（没有特别具体）基本能够适用于本项目的得</w:t>
            </w:r>
            <w:r>
              <w:rPr>
                <w:rFonts w:ascii="Times New Roman" w:hAnsi="Times New Roman" w:cs="Times New Roman" w:eastAsiaTheme="minorEastAsia"/>
                <w:kern w:val="0"/>
                <w:szCs w:val="24"/>
                <w:lang w:bidi="ar"/>
              </w:rPr>
              <w:t>5</w:t>
            </w:r>
            <w:r>
              <w:rPr>
                <w:rFonts w:ascii="Times New Roman" w:hAnsi="Times New Roman" w:cs="Times New Roman" w:eastAsiaTheme="minorEastAsia"/>
                <w:kern w:val="0"/>
                <w:szCs w:val="24"/>
                <w:lang w:val="zh-CN" w:bidi="ar"/>
              </w:rPr>
              <w:t>~</w:t>
            </w:r>
            <w:r>
              <w:rPr>
                <w:rFonts w:ascii="Times New Roman" w:hAnsi="Times New Roman" w:cs="Times New Roman" w:eastAsiaTheme="minorEastAsia"/>
                <w:kern w:val="0"/>
                <w:szCs w:val="24"/>
                <w:lang w:bidi="ar"/>
              </w:rPr>
              <w:t>9</w:t>
            </w:r>
            <w:r>
              <w:rPr>
                <w:rFonts w:ascii="Times New Roman" w:hAnsi="Times New Roman" w:cs="Times New Roman" w:eastAsiaTheme="minorEastAsia"/>
              </w:rPr>
              <w:t>分；方案所包含的要点有缺漏、内容与要点相符但仅有纲要、内容简略，未展开详细阐述但基本能够适用于本项目的得1</w:t>
            </w:r>
            <w:r>
              <w:rPr>
                <w:rFonts w:ascii="Times New Roman" w:hAnsi="Times New Roman" w:cs="Times New Roman" w:eastAsiaTheme="minorEastAsia"/>
                <w:kern w:val="0"/>
                <w:szCs w:val="24"/>
                <w:lang w:val="zh-CN" w:bidi="ar"/>
              </w:rPr>
              <w:t>~</w:t>
            </w:r>
            <w:r>
              <w:rPr>
                <w:rFonts w:ascii="Times New Roman" w:hAnsi="Times New Roman" w:cs="Times New Roman" w:eastAsiaTheme="minorEastAsia"/>
                <w:kern w:val="0"/>
                <w:szCs w:val="24"/>
                <w:lang w:bidi="ar"/>
              </w:rPr>
              <w:t>4</w:t>
            </w:r>
            <w:r>
              <w:rPr>
                <w:rFonts w:ascii="Times New Roman" w:hAnsi="Times New Roman" w:cs="Times New Roman" w:eastAsiaTheme="minorEastAsia"/>
              </w:rPr>
              <w:t>分；未提供或内容存在明显错误、内容明显不适用于本项目需求的均不得分。</w:t>
            </w:r>
          </w:p>
        </w:tc>
      </w:tr>
      <w:tr w14:paraId="5C6D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4" w:type="pct"/>
            <w:vAlign w:val="center"/>
          </w:tcPr>
          <w:p w14:paraId="010B1062">
            <w:pPr>
              <w:widowControl/>
              <w:jc w:val="center"/>
              <w:rPr>
                <w:rFonts w:ascii="Times New Roman" w:hAnsi="Times New Roman" w:eastAsia="宋体" w:cs="Times New Roman"/>
                <w:kern w:val="0"/>
                <w:szCs w:val="24"/>
                <w:lang w:bidi="ar"/>
              </w:rPr>
            </w:pPr>
            <w:r>
              <w:rPr>
                <w:rFonts w:hint="eastAsia" w:ascii="Times New Roman" w:hAnsi="Times New Roman" w:eastAsia="宋体" w:cs="Times New Roman"/>
                <w:kern w:val="0"/>
                <w:szCs w:val="24"/>
                <w:lang w:bidi="ar"/>
              </w:rPr>
              <w:t>信息安全管理</w:t>
            </w:r>
          </w:p>
        </w:tc>
        <w:tc>
          <w:tcPr>
            <w:tcW w:w="448" w:type="pct"/>
            <w:vAlign w:val="center"/>
          </w:tcPr>
          <w:p w14:paraId="20803CF8">
            <w:pPr>
              <w:jc w:val="center"/>
              <w:rPr>
                <w:rFonts w:ascii="Times New Roman" w:hAnsi="Times New Roman" w:eastAsia="宋体" w:cs="Times New Roman"/>
                <w:szCs w:val="24"/>
              </w:rPr>
            </w:pPr>
            <w:r>
              <w:rPr>
                <w:rFonts w:hint="eastAsia" w:ascii="Times New Roman" w:hAnsi="Times New Roman" w:eastAsia="宋体" w:cs="Times New Roman"/>
                <w:szCs w:val="24"/>
              </w:rPr>
              <w:t>5</w:t>
            </w:r>
          </w:p>
        </w:tc>
        <w:tc>
          <w:tcPr>
            <w:tcW w:w="3898" w:type="pct"/>
            <w:vAlign w:val="center"/>
          </w:tcPr>
          <w:p w14:paraId="72AFC6DD">
            <w:pPr>
              <w:widowControl/>
              <w:rPr>
                <w:rFonts w:ascii="Times New Roman" w:hAnsi="Times New Roman" w:eastAsia="宋体" w:cs="Times New Roman"/>
                <w:b/>
                <w:bCs/>
                <w:szCs w:val="24"/>
              </w:rPr>
            </w:pPr>
            <w:r>
              <w:rPr>
                <w:rFonts w:ascii="Times New Roman" w:hAnsi="Times New Roman" w:cs="Times New Roman" w:eastAsiaTheme="minorEastAsia"/>
                <w:kern w:val="0"/>
                <w:szCs w:val="24"/>
                <w:lang w:bidi="ar"/>
              </w:rPr>
              <w:t>根据供应商提供的项目信息安全管理方案进行评分：方案包含的要点齐全无缺漏项、内容与要点相符、每个要点均有展开详细的阐述且措施详尽能够适用于本项目得4~5分；</w:t>
            </w:r>
            <w:r>
              <w:rPr>
                <w:rFonts w:ascii="Times New Roman" w:hAnsi="Times New Roman" w:cs="Times New Roman" w:eastAsiaTheme="minorEastAsia"/>
              </w:rPr>
              <w:t>方案所包含的要点齐全、内容与要点相符、每个要点均有展开阐述（没有特别具体）基本能够适用于本项目的得</w:t>
            </w:r>
            <w:r>
              <w:rPr>
                <w:rFonts w:ascii="Times New Roman" w:hAnsi="Times New Roman" w:cs="Times New Roman" w:eastAsiaTheme="minorEastAsia"/>
                <w:kern w:val="0"/>
                <w:szCs w:val="24"/>
                <w:lang w:bidi="ar"/>
              </w:rPr>
              <w:t>2</w:t>
            </w:r>
            <w:r>
              <w:rPr>
                <w:rFonts w:ascii="Times New Roman" w:hAnsi="Times New Roman" w:cs="Times New Roman" w:eastAsiaTheme="minorEastAsia"/>
                <w:kern w:val="0"/>
                <w:szCs w:val="24"/>
                <w:lang w:val="zh-CN" w:bidi="ar"/>
              </w:rPr>
              <w:t>~</w:t>
            </w:r>
            <w:r>
              <w:rPr>
                <w:rFonts w:ascii="Times New Roman" w:hAnsi="Times New Roman" w:cs="Times New Roman" w:eastAsiaTheme="minorEastAsia"/>
                <w:kern w:val="0"/>
                <w:szCs w:val="24"/>
                <w:lang w:bidi="ar"/>
              </w:rPr>
              <w:t>3</w:t>
            </w:r>
            <w:r>
              <w:rPr>
                <w:rFonts w:ascii="Times New Roman" w:hAnsi="Times New Roman" w:cs="Times New Roman" w:eastAsiaTheme="minorEastAsia"/>
              </w:rPr>
              <w:t>分；方案所包含的要点有缺漏、内容与要点相符但仅有纲要、内容简略，未展开详细阐述但基本能够适用于本项目的得1分；未提供或内容存在明显错误、内容明显不适用于本项目需求的均不得分。</w:t>
            </w:r>
          </w:p>
        </w:tc>
      </w:tr>
      <w:tr w14:paraId="3052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4" w:type="pct"/>
            <w:vAlign w:val="center"/>
          </w:tcPr>
          <w:p w14:paraId="5F247204">
            <w:pPr>
              <w:widowControl/>
              <w:jc w:val="center"/>
              <w:rPr>
                <w:rFonts w:ascii="Times New Roman" w:hAnsi="Times New Roman" w:eastAsia="宋体" w:cs="Times New Roman"/>
                <w:kern w:val="0"/>
                <w:szCs w:val="24"/>
                <w:lang w:bidi="ar"/>
              </w:rPr>
            </w:pPr>
            <w:r>
              <w:rPr>
                <w:rFonts w:hint="eastAsia" w:ascii="Times New Roman" w:hAnsi="Times New Roman" w:eastAsia="宋体" w:cs="Times New Roman"/>
                <w:kern w:val="0"/>
                <w:szCs w:val="24"/>
                <w:lang w:bidi="ar"/>
              </w:rPr>
              <w:t>风险承担能力水平</w:t>
            </w:r>
          </w:p>
        </w:tc>
        <w:tc>
          <w:tcPr>
            <w:tcW w:w="448" w:type="pct"/>
            <w:vAlign w:val="center"/>
          </w:tcPr>
          <w:p w14:paraId="1436E8C2">
            <w:pPr>
              <w:jc w:val="center"/>
              <w:rPr>
                <w:rFonts w:ascii="Times New Roman" w:hAnsi="Times New Roman" w:eastAsia="宋体" w:cs="Times New Roman"/>
                <w:szCs w:val="24"/>
              </w:rPr>
            </w:pPr>
            <w:r>
              <w:rPr>
                <w:rFonts w:hint="eastAsia" w:ascii="Times New Roman" w:hAnsi="Times New Roman" w:eastAsia="宋体" w:cs="Times New Roman"/>
                <w:szCs w:val="24"/>
              </w:rPr>
              <w:t>5</w:t>
            </w:r>
          </w:p>
        </w:tc>
        <w:tc>
          <w:tcPr>
            <w:tcW w:w="3898" w:type="pct"/>
            <w:vAlign w:val="center"/>
          </w:tcPr>
          <w:p w14:paraId="198C2422">
            <w:pPr>
              <w:widowControl/>
              <w:rPr>
                <w:rFonts w:ascii="Times New Roman" w:hAnsi="Times New Roman" w:eastAsia="宋体" w:cs="Times New Roman"/>
                <w:b/>
                <w:bCs/>
                <w:szCs w:val="24"/>
              </w:rPr>
            </w:pPr>
            <w:r>
              <w:rPr>
                <w:rFonts w:ascii="Times New Roman" w:hAnsi="Times New Roman" w:cs="Times New Roman" w:eastAsiaTheme="minorEastAsia"/>
                <w:kern w:val="0"/>
                <w:szCs w:val="24"/>
                <w:lang w:bidi="ar"/>
              </w:rPr>
              <w:t>根据供应商提供的项目风险承担能力水平方案进行评分：方案包含的要点齐全无缺漏项、内容与要点相符、每个要点均有展开详细的阐述且措施详尽能够适用于本项目得4~5分；</w:t>
            </w:r>
            <w:r>
              <w:rPr>
                <w:rFonts w:ascii="Times New Roman" w:hAnsi="Times New Roman" w:cs="Times New Roman" w:eastAsiaTheme="minorEastAsia"/>
              </w:rPr>
              <w:t>方案所包含的要点齐全、内容与要点相符、每个要点均有展开阐述（没有特别具体）基本能够适用于本项目的得</w:t>
            </w:r>
            <w:r>
              <w:rPr>
                <w:rFonts w:ascii="Times New Roman" w:hAnsi="Times New Roman" w:cs="Times New Roman" w:eastAsiaTheme="minorEastAsia"/>
                <w:kern w:val="0"/>
                <w:szCs w:val="24"/>
                <w:lang w:bidi="ar"/>
              </w:rPr>
              <w:t>2</w:t>
            </w:r>
            <w:r>
              <w:rPr>
                <w:rFonts w:ascii="Times New Roman" w:hAnsi="Times New Roman" w:cs="Times New Roman" w:eastAsiaTheme="minorEastAsia"/>
                <w:kern w:val="0"/>
                <w:szCs w:val="24"/>
                <w:lang w:val="zh-CN" w:bidi="ar"/>
              </w:rPr>
              <w:t>~</w:t>
            </w:r>
            <w:r>
              <w:rPr>
                <w:rFonts w:ascii="Times New Roman" w:hAnsi="Times New Roman" w:cs="Times New Roman" w:eastAsiaTheme="minorEastAsia"/>
                <w:kern w:val="0"/>
                <w:szCs w:val="24"/>
                <w:lang w:bidi="ar"/>
              </w:rPr>
              <w:t>3</w:t>
            </w:r>
            <w:r>
              <w:rPr>
                <w:rFonts w:ascii="Times New Roman" w:hAnsi="Times New Roman" w:cs="Times New Roman" w:eastAsiaTheme="minorEastAsia"/>
              </w:rPr>
              <w:t>分；方案所包含的要点有缺漏、内容与要点相符但仅有纲要、内容简略，未展开详细阐述但基本能够适用于本项目的得1分；未提供或内容存在明显错误、内容明显不适用于本项目需求的均不得分。</w:t>
            </w:r>
          </w:p>
        </w:tc>
      </w:tr>
    </w:tbl>
    <w:p w14:paraId="798F1516">
      <w:pPr>
        <w:pStyle w:val="17"/>
        <w:ind w:firstLine="360"/>
        <w:rPr>
          <w:rFonts w:ascii="Times New Roman" w:hAnsi="Times New Roman" w:cs="Times New Roman"/>
          <w:sz w:val="18"/>
          <w:highlight w:val="yellow"/>
        </w:rPr>
      </w:pPr>
    </w:p>
    <w:p w14:paraId="0128DD64">
      <w:pPr>
        <w:tabs>
          <w:tab w:val="left" w:pos="720"/>
          <w:tab w:val="right" w:leader="dot" w:pos="9062"/>
        </w:tabs>
        <w:adjustRightInd w:val="0"/>
        <w:spacing w:before="120" w:beforeLines="50" w:line="400" w:lineRule="exact"/>
        <w:ind w:firstLine="482" w:firstLineChars="200"/>
        <w:jc w:val="left"/>
        <w:textAlignment w:val="baseline"/>
        <w:rPr>
          <w:rFonts w:ascii="Times New Roman" w:hAnsi="Times New Roman" w:cs="Times New Roman"/>
          <w:b/>
          <w:smallCaps/>
          <w:kern w:val="0"/>
          <w:sz w:val="24"/>
          <w:szCs w:val="32"/>
        </w:rPr>
      </w:pPr>
      <w:r>
        <w:rPr>
          <w:rFonts w:ascii="Times New Roman" w:hAnsi="Times New Roman" w:cs="Times New Roman"/>
          <w:b/>
          <w:smallCaps/>
          <w:kern w:val="0"/>
          <w:sz w:val="24"/>
          <w:szCs w:val="32"/>
        </w:rPr>
        <w:t>5.3 报价部分</w:t>
      </w:r>
      <w:bookmarkEnd w:id="34"/>
      <w:r>
        <w:rPr>
          <w:rFonts w:ascii="Times New Roman" w:hAnsi="Times New Roman" w:cs="Times New Roman"/>
          <w:b/>
          <w:smallCaps/>
          <w:kern w:val="0"/>
          <w:sz w:val="24"/>
          <w:szCs w:val="32"/>
        </w:rPr>
        <w:t>（F3：15分）</w:t>
      </w:r>
    </w:p>
    <w:tbl>
      <w:tblPr>
        <w:tblStyle w:val="6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802"/>
        <w:gridCol w:w="7254"/>
      </w:tblGrid>
      <w:tr w14:paraId="0494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vAlign w:val="center"/>
          </w:tcPr>
          <w:p w14:paraId="17C1E420">
            <w:pPr>
              <w:widowControl/>
              <w:jc w:val="center"/>
              <w:rPr>
                <w:rFonts w:ascii="Times New Roman" w:hAnsi="Times New Roman" w:eastAsia="宋体" w:cs="Times New Roman"/>
                <w:szCs w:val="24"/>
              </w:rPr>
            </w:pPr>
            <w:r>
              <w:rPr>
                <w:rFonts w:ascii="Times New Roman" w:hAnsi="Times New Roman" w:eastAsia="宋体" w:cs="Times New Roman"/>
                <w:kern w:val="0"/>
                <w:szCs w:val="24"/>
                <w:lang w:bidi="ar"/>
              </w:rPr>
              <w:t>评标项目</w:t>
            </w:r>
          </w:p>
        </w:tc>
        <w:tc>
          <w:tcPr>
            <w:tcW w:w="432" w:type="pct"/>
            <w:vAlign w:val="center"/>
          </w:tcPr>
          <w:p w14:paraId="04596C35">
            <w:pPr>
              <w:widowControl/>
              <w:jc w:val="center"/>
              <w:rPr>
                <w:rFonts w:ascii="Times New Roman" w:hAnsi="Times New Roman" w:eastAsia="宋体" w:cs="Times New Roman"/>
                <w:szCs w:val="24"/>
              </w:rPr>
            </w:pPr>
            <w:r>
              <w:rPr>
                <w:rFonts w:ascii="Times New Roman" w:hAnsi="Times New Roman" w:eastAsia="宋体" w:cs="Times New Roman"/>
                <w:kern w:val="0"/>
                <w:szCs w:val="24"/>
                <w:lang w:bidi="ar"/>
              </w:rPr>
              <w:t>评标分值</w:t>
            </w:r>
          </w:p>
        </w:tc>
        <w:tc>
          <w:tcPr>
            <w:tcW w:w="3906" w:type="pct"/>
            <w:vAlign w:val="center"/>
          </w:tcPr>
          <w:p w14:paraId="7598DE4B">
            <w:pPr>
              <w:widowControl/>
              <w:jc w:val="center"/>
              <w:rPr>
                <w:rFonts w:ascii="Times New Roman" w:hAnsi="Times New Roman" w:eastAsia="宋体" w:cs="Times New Roman"/>
                <w:szCs w:val="24"/>
              </w:rPr>
            </w:pPr>
            <w:r>
              <w:rPr>
                <w:rFonts w:ascii="Times New Roman" w:hAnsi="Times New Roman" w:eastAsia="宋体" w:cs="Times New Roman"/>
                <w:kern w:val="0"/>
                <w:szCs w:val="24"/>
                <w:lang w:bidi="ar"/>
              </w:rPr>
              <w:t>评标方法描述</w:t>
            </w:r>
          </w:p>
        </w:tc>
      </w:tr>
      <w:tr w14:paraId="36B1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62" w:type="pct"/>
            <w:vAlign w:val="center"/>
          </w:tcPr>
          <w:p w14:paraId="5B5B9D4A">
            <w:pPr>
              <w:widowControl/>
              <w:jc w:val="center"/>
              <w:rPr>
                <w:rFonts w:ascii="Times New Roman" w:hAnsi="Times New Roman" w:eastAsia="宋体" w:cs="Times New Roman"/>
                <w:kern w:val="0"/>
                <w:szCs w:val="24"/>
                <w:lang w:bidi="ar"/>
              </w:rPr>
            </w:pPr>
            <w:r>
              <w:rPr>
                <w:rFonts w:ascii="Times New Roman" w:hAnsi="Times New Roman" w:eastAsia="宋体" w:cs="Times New Roman"/>
                <w:kern w:val="0"/>
                <w:szCs w:val="24"/>
                <w:lang w:bidi="ar"/>
              </w:rPr>
              <w:t>报价</w:t>
            </w:r>
          </w:p>
          <w:p w14:paraId="64ADF899">
            <w:pPr>
              <w:widowControl/>
              <w:jc w:val="center"/>
              <w:rPr>
                <w:rFonts w:ascii="Times New Roman" w:hAnsi="Times New Roman" w:eastAsia="宋体" w:cs="Times New Roman"/>
                <w:szCs w:val="24"/>
              </w:rPr>
            </w:pPr>
            <w:r>
              <w:rPr>
                <w:rFonts w:ascii="Times New Roman" w:hAnsi="Times New Roman" w:eastAsia="宋体" w:cs="Times New Roman"/>
                <w:kern w:val="0"/>
                <w:szCs w:val="24"/>
                <w:lang w:bidi="ar"/>
              </w:rPr>
              <w:t>部分</w:t>
            </w:r>
          </w:p>
        </w:tc>
        <w:tc>
          <w:tcPr>
            <w:tcW w:w="432" w:type="pct"/>
            <w:vAlign w:val="center"/>
          </w:tcPr>
          <w:p w14:paraId="0126E1D3">
            <w:pPr>
              <w:widowControl/>
              <w:jc w:val="center"/>
              <w:rPr>
                <w:rFonts w:ascii="Times New Roman" w:hAnsi="Times New Roman" w:eastAsia="宋体" w:cs="Times New Roman"/>
                <w:szCs w:val="24"/>
              </w:rPr>
            </w:pPr>
            <w:r>
              <w:rPr>
                <w:rFonts w:ascii="Times New Roman" w:hAnsi="Times New Roman" w:eastAsia="宋体" w:cs="Times New Roman"/>
                <w:szCs w:val="24"/>
              </w:rPr>
              <w:t>15</w:t>
            </w:r>
          </w:p>
        </w:tc>
        <w:tc>
          <w:tcPr>
            <w:tcW w:w="3906" w:type="pct"/>
            <w:vAlign w:val="center"/>
          </w:tcPr>
          <w:p w14:paraId="4BB1FFC4">
            <w:pPr>
              <w:widowControl/>
              <w:rPr>
                <w:rFonts w:ascii="Times New Roman" w:hAnsi="Times New Roman" w:eastAsia="宋体" w:cs="Times New Roman"/>
                <w:kern w:val="0"/>
                <w:szCs w:val="24"/>
                <w:lang w:bidi="ar"/>
              </w:rPr>
            </w:pPr>
            <w:r>
              <w:rPr>
                <w:rFonts w:ascii="Times New Roman" w:hAnsi="Times New Roman" w:eastAsia="宋体" w:cs="Times New Roman"/>
                <w:kern w:val="0"/>
                <w:szCs w:val="24"/>
                <w:lang w:bidi="ar"/>
              </w:rPr>
              <w:t>本次评标中，投标报价的评标基准值，计算方法如下：</w:t>
            </w:r>
          </w:p>
          <w:p w14:paraId="06ADF12D">
            <w:pPr>
              <w:widowControl/>
              <w:rPr>
                <w:rFonts w:ascii="Times New Roman" w:hAnsi="Times New Roman" w:eastAsia="宋体" w:cs="Times New Roman"/>
                <w:kern w:val="0"/>
                <w:szCs w:val="24"/>
                <w:lang w:bidi="ar"/>
              </w:rPr>
            </w:pPr>
            <w:r>
              <w:rPr>
                <w:rFonts w:ascii="Times New Roman" w:hAnsi="Times New Roman" w:eastAsia="宋体" w:cs="Times New Roman"/>
                <w:kern w:val="0"/>
                <w:szCs w:val="24"/>
                <w:lang w:bidi="ar"/>
              </w:rPr>
              <w:t>全体合格供应商投标报价的算术平均值为投标报价的评标基准值；</w:t>
            </w:r>
          </w:p>
          <w:p w14:paraId="5A0A0AA9">
            <w:pPr>
              <w:widowControl/>
              <w:rPr>
                <w:rFonts w:ascii="Times New Roman" w:hAnsi="Times New Roman" w:eastAsia="宋体" w:cs="Times New Roman"/>
                <w:szCs w:val="24"/>
              </w:rPr>
            </w:pPr>
            <w:r>
              <w:rPr>
                <w:rFonts w:ascii="Times New Roman" w:hAnsi="Times New Roman" w:eastAsia="宋体" w:cs="Times New Roman"/>
                <w:kern w:val="0"/>
                <w:szCs w:val="24"/>
                <w:lang w:bidi="ar"/>
              </w:rPr>
              <w:t>注：供应商应酌情考虑合理报价，不得相互串通报价或恶意高价、低价，否则将可能导致投标无效。评标委员会认为供应商的报价明显低于</w:t>
            </w:r>
            <w:r>
              <w:rPr>
                <w:rFonts w:hint="eastAsia" w:ascii="Times New Roman" w:hAnsi="Times New Roman" w:eastAsia="宋体" w:cs="Times New Roman"/>
                <w:kern w:val="0"/>
                <w:szCs w:val="24"/>
                <w:lang w:bidi="ar"/>
              </w:rPr>
              <w:t>或明显高于</w:t>
            </w:r>
            <w:r>
              <w:rPr>
                <w:rFonts w:ascii="Times New Roman" w:hAnsi="Times New Roman" w:eastAsia="宋体" w:cs="Times New Roman"/>
                <w:kern w:val="0"/>
                <w:szCs w:val="24"/>
                <w:lang w:bidi="ar"/>
              </w:rPr>
              <w:t>其他通过符合性审查供应商的报价，有可能影响产品质量或不能诚信履约的，应要求其在评标现场合理的时间内提供书面说明，必要时还应要求其一并提交有关证明材料；供应商不能证明其报价合理性的，评标委员会应将其作为投标无效处理。</w:t>
            </w:r>
          </w:p>
          <w:p w14:paraId="4E47E1E4">
            <w:pPr>
              <w:rPr>
                <w:rFonts w:ascii="Times New Roman" w:hAnsi="Times New Roman" w:eastAsia="宋体" w:cs="Times New Roman"/>
                <w:szCs w:val="24"/>
              </w:rPr>
            </w:pPr>
            <w:r>
              <w:rPr>
                <w:rFonts w:ascii="Times New Roman" w:hAnsi="Times New Roman" w:eastAsia="宋体" w:cs="Times New Roman"/>
                <w:spacing w:val="8"/>
                <w:szCs w:val="24"/>
                <w:shd w:val="clear" w:color="auto" w:fill="FFFFFF"/>
              </w:rPr>
              <w:t>费用报价得分=（1-</w:t>
            </w:r>
            <w:r>
              <w:rPr>
                <w:rFonts w:hint="eastAsia" w:ascii="宋体" w:hAnsi="宋体" w:eastAsia="宋体" w:cs="宋体"/>
                <w:spacing w:val="8"/>
                <w:szCs w:val="24"/>
                <w:shd w:val="clear" w:color="auto" w:fill="FFFFFF"/>
              </w:rPr>
              <w:t>∣</w:t>
            </w:r>
            <w:r>
              <w:rPr>
                <w:rFonts w:ascii="Times New Roman" w:hAnsi="Times New Roman" w:eastAsia="宋体" w:cs="Times New Roman"/>
                <w:spacing w:val="8"/>
                <w:szCs w:val="24"/>
                <w:shd w:val="clear" w:color="auto" w:fill="FFFFFF"/>
              </w:rPr>
              <w:t>选聘基准价-费用报价</w:t>
            </w:r>
            <w:r>
              <w:rPr>
                <w:rFonts w:hint="eastAsia" w:ascii="宋体" w:hAnsi="宋体" w:eastAsia="宋体" w:cs="宋体"/>
                <w:spacing w:val="8"/>
                <w:szCs w:val="24"/>
                <w:shd w:val="clear" w:color="auto" w:fill="FFFFFF"/>
              </w:rPr>
              <w:t>∣</w:t>
            </w:r>
            <w:r>
              <w:rPr>
                <w:rFonts w:ascii="Times New Roman" w:hAnsi="Times New Roman" w:eastAsia="宋体" w:cs="Times New Roman"/>
                <w:spacing w:val="8"/>
                <w:szCs w:val="24"/>
                <w:shd w:val="clear" w:color="auto" w:fill="FFFFFF"/>
              </w:rPr>
              <w:t>/选聘基准价）×费用报价要素所占权重分值</w:t>
            </w:r>
          </w:p>
        </w:tc>
      </w:tr>
      <w:bookmarkEnd w:id="28"/>
    </w:tbl>
    <w:p w14:paraId="09628F1C">
      <w:pPr>
        <w:pStyle w:val="76"/>
        <w:ind w:firstLine="480"/>
      </w:pPr>
      <w:bookmarkStart w:id="35" w:name="_Toc90666991"/>
      <w:bookmarkStart w:id="36" w:name="_Toc33000529"/>
      <w:bookmarkStart w:id="37" w:name="_Toc10496"/>
      <w:bookmarkStart w:id="38" w:name="_Toc17741"/>
      <w:bookmarkStart w:id="39" w:name="_Toc8512"/>
      <w:bookmarkStart w:id="40" w:name="_Toc2197"/>
      <w:bookmarkStart w:id="41" w:name="_Toc12789074"/>
    </w:p>
    <w:p w14:paraId="69446E76">
      <w:pPr>
        <w:keepNext/>
        <w:snapToGrid w:val="0"/>
        <w:outlineLvl w:val="0"/>
        <w:rPr>
          <w:rFonts w:ascii="Times New Roman" w:hAnsi="Times New Roman" w:cs="Times New Roman"/>
          <w:b/>
          <w:bCs/>
          <w:sz w:val="40"/>
          <w:szCs w:val="32"/>
        </w:rPr>
      </w:pPr>
      <w:r>
        <w:rPr>
          <w:rFonts w:hint="eastAsia" w:ascii="Times New Roman" w:hAnsi="Times New Roman" w:cs="Times New Roman"/>
          <w:b/>
          <w:bCs/>
          <w:sz w:val="40"/>
          <w:szCs w:val="32"/>
        </w:rPr>
        <w:t>三</w:t>
      </w:r>
      <w:r>
        <w:rPr>
          <w:rFonts w:ascii="Times New Roman" w:hAnsi="Times New Roman" w:cs="Times New Roman"/>
          <w:b/>
          <w:bCs/>
          <w:sz w:val="40"/>
          <w:szCs w:val="32"/>
        </w:rPr>
        <w:t>、投标文件格式</w:t>
      </w:r>
      <w:bookmarkEnd w:id="35"/>
      <w:bookmarkEnd w:id="36"/>
      <w:bookmarkEnd w:id="37"/>
      <w:bookmarkEnd w:id="38"/>
      <w:bookmarkEnd w:id="39"/>
      <w:bookmarkEnd w:id="40"/>
    </w:p>
    <w:p w14:paraId="40A99A83">
      <w:pPr>
        <w:spacing w:line="40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t>（供应商须严格按照该格式提交投标文件）</w:t>
      </w:r>
    </w:p>
    <w:bookmarkEnd w:id="41"/>
    <w:p w14:paraId="45997C7E">
      <w:pPr>
        <w:spacing w:line="400" w:lineRule="exact"/>
        <w:ind w:firstLine="480" w:firstLineChars="200"/>
        <w:rPr>
          <w:rFonts w:ascii="Times New Roman" w:hAnsi="Times New Roman" w:cs="Times New Roman"/>
          <w:sz w:val="24"/>
          <w:szCs w:val="32"/>
        </w:rPr>
      </w:pPr>
      <w:r>
        <w:rPr>
          <w:rFonts w:hint="eastAsia" w:ascii="Times New Roman" w:hAnsi="Times New Roman" w:cs="Times New Roman"/>
          <w:sz w:val="24"/>
          <w:szCs w:val="32"/>
        </w:rPr>
        <w:t>1、供应商基本情况表</w:t>
      </w:r>
    </w:p>
    <w:p w14:paraId="2C49B81B">
      <w:pPr>
        <w:spacing w:line="400" w:lineRule="exact"/>
        <w:ind w:firstLine="480" w:firstLineChars="200"/>
        <w:rPr>
          <w:rFonts w:ascii="Times New Roman" w:hAnsi="Times New Roman" w:cs="Times New Roman"/>
          <w:sz w:val="24"/>
          <w:szCs w:val="32"/>
        </w:rPr>
      </w:pPr>
      <w:r>
        <w:rPr>
          <w:rFonts w:ascii="Times New Roman" w:hAnsi="Times New Roman" w:cs="Times New Roman"/>
          <w:sz w:val="24"/>
          <w:szCs w:val="32"/>
        </w:rPr>
        <w:t>2、报价函</w:t>
      </w:r>
      <w:r>
        <w:rPr>
          <w:rFonts w:ascii="Times New Roman" w:hAnsi="Times New Roman" w:cs="Times New Roman"/>
          <w:bCs/>
          <w:sz w:val="24"/>
          <w:szCs w:val="32"/>
        </w:rPr>
        <w:t>及详细报价表</w:t>
      </w:r>
    </w:p>
    <w:p w14:paraId="23289E7B">
      <w:pPr>
        <w:spacing w:line="400" w:lineRule="exact"/>
        <w:ind w:firstLine="480" w:firstLineChars="200"/>
        <w:rPr>
          <w:rFonts w:ascii="Times New Roman" w:hAnsi="Times New Roman" w:cs="Times New Roman"/>
          <w:sz w:val="24"/>
          <w:szCs w:val="32"/>
        </w:rPr>
      </w:pPr>
      <w:r>
        <w:rPr>
          <w:rFonts w:ascii="Times New Roman" w:hAnsi="Times New Roman" w:cs="Times New Roman"/>
          <w:sz w:val="24"/>
          <w:szCs w:val="32"/>
        </w:rPr>
        <w:t>3、授权委托书</w:t>
      </w:r>
    </w:p>
    <w:p w14:paraId="685490C6">
      <w:pPr>
        <w:spacing w:line="400" w:lineRule="exact"/>
        <w:ind w:firstLine="480" w:firstLineChars="200"/>
        <w:rPr>
          <w:rFonts w:ascii="Times New Roman" w:hAnsi="Times New Roman" w:cs="Times New Roman"/>
          <w:sz w:val="24"/>
          <w:szCs w:val="32"/>
        </w:rPr>
      </w:pPr>
      <w:r>
        <w:rPr>
          <w:rFonts w:ascii="Times New Roman" w:hAnsi="Times New Roman" w:cs="Times New Roman"/>
          <w:sz w:val="24"/>
          <w:szCs w:val="32"/>
        </w:rPr>
        <w:t>4、营业执照复印件</w:t>
      </w:r>
    </w:p>
    <w:p w14:paraId="0F42EFB2">
      <w:pPr>
        <w:spacing w:line="400" w:lineRule="exact"/>
        <w:ind w:firstLine="480" w:firstLineChars="200"/>
        <w:rPr>
          <w:rFonts w:ascii="Times New Roman" w:hAnsi="Times New Roman" w:cs="Times New Roman"/>
          <w:sz w:val="24"/>
          <w:szCs w:val="32"/>
        </w:rPr>
      </w:pPr>
      <w:r>
        <w:rPr>
          <w:rFonts w:ascii="Times New Roman" w:hAnsi="Times New Roman" w:cs="Times New Roman"/>
          <w:sz w:val="24"/>
          <w:szCs w:val="32"/>
        </w:rPr>
        <w:t>5</w:t>
      </w:r>
      <w:r>
        <w:rPr>
          <w:rFonts w:hint="eastAsia" w:ascii="Times New Roman" w:hAnsi="Times New Roman" w:cs="Times New Roman"/>
          <w:sz w:val="24"/>
          <w:szCs w:val="32"/>
        </w:rPr>
        <w:t>、</w:t>
      </w:r>
      <w:r>
        <w:rPr>
          <w:rFonts w:hint="eastAsia" w:ascii="Times New Roman" w:hAnsi="Times New Roman" w:cs="Times New Roman"/>
          <w:bCs/>
          <w:sz w:val="24"/>
          <w:szCs w:val="32"/>
          <w:u w:val="single"/>
        </w:rPr>
        <w:t>供应商资格承诺函 或</w:t>
      </w:r>
      <w:r>
        <w:rPr>
          <w:rFonts w:hint="eastAsia" w:ascii="Times New Roman" w:hAnsi="Times New Roman" w:cs="Times New Roman"/>
          <w:sz w:val="24"/>
          <w:szCs w:val="32"/>
        </w:rPr>
        <w:t>上一年度经第三方审计的</w:t>
      </w:r>
      <w:r>
        <w:rPr>
          <w:rFonts w:hint="eastAsia" w:ascii="Times New Roman" w:hAnsi="Times New Roman" w:cs="Times New Roman"/>
          <w:b/>
          <w:sz w:val="24"/>
          <w:szCs w:val="32"/>
          <w:u w:val="single"/>
        </w:rPr>
        <w:t>财务报告</w:t>
      </w:r>
      <w:r>
        <w:rPr>
          <w:rFonts w:hint="eastAsia" w:ascii="Times New Roman" w:hAnsi="Times New Roman" w:cs="Times New Roman"/>
          <w:sz w:val="24"/>
          <w:szCs w:val="32"/>
        </w:rPr>
        <w:t>（包括资产负债表、利润表、现金流量表、所有者权益变动表（若有）及其附注（若有））或</w:t>
      </w:r>
      <w:r>
        <w:rPr>
          <w:rFonts w:hint="eastAsia" w:ascii="Times New Roman" w:hAnsi="Times New Roman" w:cs="Times New Roman"/>
          <w:b/>
          <w:sz w:val="24"/>
          <w:szCs w:val="32"/>
          <w:u w:val="single"/>
        </w:rPr>
        <w:t>银行资信证明</w:t>
      </w:r>
      <w:r>
        <w:rPr>
          <w:rFonts w:hint="eastAsia" w:ascii="Times New Roman" w:hAnsi="Times New Roman" w:cs="Times New Roman"/>
          <w:sz w:val="24"/>
          <w:szCs w:val="32"/>
        </w:rPr>
        <w:t>。银行资信证明须为投标截止时间前六个月（不含投标截止当月）中任一月份由供应商基本开户银行出具</w:t>
      </w:r>
    </w:p>
    <w:p w14:paraId="15F24B7F">
      <w:pPr>
        <w:spacing w:line="400" w:lineRule="exact"/>
        <w:ind w:firstLine="480" w:firstLineChars="200"/>
        <w:rPr>
          <w:rFonts w:ascii="Times New Roman" w:hAnsi="Times New Roman" w:cs="Times New Roman"/>
          <w:sz w:val="24"/>
          <w:szCs w:val="32"/>
        </w:rPr>
      </w:pPr>
      <w:r>
        <w:rPr>
          <w:rFonts w:ascii="Times New Roman" w:hAnsi="Times New Roman" w:cs="Times New Roman"/>
          <w:sz w:val="24"/>
          <w:szCs w:val="32"/>
        </w:rPr>
        <w:t>6、依法缴纳税收的相关证明材料，提交投标材料截止时间前六个月（不含投标截止当月）中任一月份的</w:t>
      </w:r>
      <w:r>
        <w:rPr>
          <w:rFonts w:ascii="Times New Roman" w:hAnsi="Times New Roman" w:cs="Times New Roman"/>
          <w:b/>
          <w:sz w:val="24"/>
          <w:szCs w:val="32"/>
        </w:rPr>
        <w:t>税收</w:t>
      </w:r>
      <w:r>
        <w:rPr>
          <w:rFonts w:ascii="Times New Roman" w:hAnsi="Times New Roman" w:cs="Times New Roman"/>
          <w:sz w:val="24"/>
          <w:szCs w:val="32"/>
        </w:rPr>
        <w:t>凭据复印件</w:t>
      </w:r>
    </w:p>
    <w:p w14:paraId="0B46F3B9">
      <w:pPr>
        <w:spacing w:line="400" w:lineRule="exact"/>
        <w:ind w:firstLine="480" w:firstLineChars="200"/>
        <w:rPr>
          <w:rFonts w:ascii="Times New Roman" w:hAnsi="Times New Roman" w:cs="Times New Roman"/>
          <w:sz w:val="24"/>
          <w:szCs w:val="32"/>
        </w:rPr>
      </w:pPr>
      <w:r>
        <w:rPr>
          <w:rFonts w:ascii="Times New Roman" w:hAnsi="Times New Roman" w:cs="Times New Roman"/>
          <w:sz w:val="24"/>
          <w:szCs w:val="32"/>
        </w:rPr>
        <w:t>7、依法缴纳社会保障资金的相关材料（至少包含养老保险），提交投标材料截止时间前六个月（不含投标截止当月）中任一月份的</w:t>
      </w:r>
      <w:r>
        <w:rPr>
          <w:rFonts w:ascii="Times New Roman" w:hAnsi="Times New Roman" w:cs="Times New Roman"/>
          <w:b/>
          <w:sz w:val="24"/>
          <w:szCs w:val="32"/>
        </w:rPr>
        <w:t>社会保险</w:t>
      </w:r>
      <w:r>
        <w:rPr>
          <w:rFonts w:ascii="Times New Roman" w:hAnsi="Times New Roman" w:cs="Times New Roman"/>
          <w:sz w:val="24"/>
          <w:szCs w:val="32"/>
        </w:rPr>
        <w:t>凭据复印件）</w:t>
      </w:r>
    </w:p>
    <w:p w14:paraId="3C00B69B">
      <w:pPr>
        <w:spacing w:line="400" w:lineRule="exact"/>
        <w:ind w:firstLine="480" w:firstLineChars="200"/>
        <w:rPr>
          <w:rFonts w:ascii="Times New Roman" w:hAnsi="Times New Roman" w:cs="Times New Roman"/>
          <w:sz w:val="24"/>
          <w:szCs w:val="32"/>
        </w:rPr>
      </w:pPr>
      <w:r>
        <w:rPr>
          <w:rFonts w:ascii="Times New Roman" w:hAnsi="Times New Roman" w:cs="Times New Roman"/>
          <w:sz w:val="24"/>
          <w:szCs w:val="32"/>
        </w:rPr>
        <w:t>8、具备履行合同所必需的设备和专业技术能力的证明材料或声明函</w:t>
      </w:r>
    </w:p>
    <w:p w14:paraId="026A2D35">
      <w:pPr>
        <w:spacing w:line="400" w:lineRule="exact"/>
        <w:ind w:firstLine="480" w:firstLineChars="200"/>
        <w:rPr>
          <w:rFonts w:ascii="Times New Roman" w:hAnsi="Times New Roman" w:cs="Times New Roman"/>
          <w:sz w:val="24"/>
          <w:szCs w:val="32"/>
        </w:rPr>
      </w:pPr>
      <w:r>
        <w:rPr>
          <w:rFonts w:ascii="Times New Roman" w:hAnsi="Times New Roman" w:cs="Times New Roman"/>
          <w:sz w:val="24"/>
          <w:szCs w:val="32"/>
        </w:rPr>
        <w:t>9、参加企业采购活动前3年内在经营活动中没有重大违法记录的书面声明</w:t>
      </w:r>
    </w:p>
    <w:p w14:paraId="3E54F603">
      <w:pPr>
        <w:spacing w:line="400" w:lineRule="exact"/>
        <w:ind w:firstLine="480" w:firstLineChars="200"/>
        <w:rPr>
          <w:rFonts w:ascii="Times New Roman" w:hAnsi="Times New Roman" w:cs="Times New Roman"/>
          <w:sz w:val="24"/>
          <w:szCs w:val="32"/>
        </w:rPr>
      </w:pPr>
      <w:r>
        <w:rPr>
          <w:rFonts w:ascii="Times New Roman" w:hAnsi="Times New Roman" w:cs="Times New Roman"/>
          <w:sz w:val="24"/>
          <w:szCs w:val="32"/>
        </w:rPr>
        <w:t>10</w:t>
      </w:r>
      <w:r>
        <w:rPr>
          <w:rFonts w:hint="eastAsia" w:ascii="Times New Roman" w:hAnsi="Times New Roman" w:cs="Times New Roman"/>
          <w:sz w:val="24"/>
          <w:szCs w:val="32"/>
        </w:rPr>
        <w:t>、供应商廉洁承诺书</w:t>
      </w:r>
    </w:p>
    <w:p w14:paraId="5C6EADED">
      <w:pPr>
        <w:spacing w:line="400" w:lineRule="exact"/>
        <w:ind w:firstLine="480" w:firstLineChars="200"/>
        <w:rPr>
          <w:rFonts w:ascii="Times New Roman" w:hAnsi="Times New Roman" w:cs="Times New Roman"/>
          <w:sz w:val="24"/>
          <w:szCs w:val="32"/>
        </w:rPr>
      </w:pPr>
      <w:r>
        <w:rPr>
          <w:rFonts w:ascii="Times New Roman" w:hAnsi="Times New Roman" w:cs="Times New Roman"/>
          <w:sz w:val="24"/>
          <w:szCs w:val="32"/>
        </w:rPr>
        <w:t>11</w:t>
      </w:r>
      <w:r>
        <w:rPr>
          <w:rFonts w:hint="eastAsia" w:ascii="Times New Roman" w:hAnsi="Times New Roman" w:cs="Times New Roman"/>
          <w:sz w:val="24"/>
          <w:szCs w:val="32"/>
        </w:rPr>
        <w:t>、供应商保密承诺书</w:t>
      </w:r>
    </w:p>
    <w:p w14:paraId="1D134FF7">
      <w:pPr>
        <w:spacing w:line="400" w:lineRule="exact"/>
        <w:ind w:firstLine="480" w:firstLineChars="200"/>
        <w:rPr>
          <w:rFonts w:ascii="Times New Roman" w:hAnsi="Times New Roman" w:cs="Times New Roman"/>
          <w:sz w:val="24"/>
          <w:szCs w:val="32"/>
        </w:rPr>
      </w:pPr>
      <w:r>
        <w:rPr>
          <w:rFonts w:hint="eastAsia" w:ascii="Times New Roman" w:hAnsi="Times New Roman" w:cs="Times New Roman"/>
          <w:sz w:val="24"/>
          <w:szCs w:val="32"/>
        </w:rPr>
        <w:t>1</w:t>
      </w:r>
      <w:r>
        <w:rPr>
          <w:rFonts w:ascii="Times New Roman" w:hAnsi="Times New Roman" w:cs="Times New Roman"/>
          <w:sz w:val="24"/>
          <w:szCs w:val="32"/>
        </w:rPr>
        <w:t>2</w:t>
      </w:r>
      <w:r>
        <w:rPr>
          <w:rFonts w:hint="eastAsia" w:ascii="Times New Roman" w:hAnsi="Times New Roman" w:cs="Times New Roman"/>
          <w:sz w:val="24"/>
          <w:szCs w:val="32"/>
        </w:rPr>
        <w:t>、信用记录查询</w:t>
      </w:r>
    </w:p>
    <w:p w14:paraId="08EF7BAB">
      <w:pPr>
        <w:spacing w:line="400" w:lineRule="exact"/>
        <w:ind w:firstLine="480" w:firstLineChars="200"/>
        <w:rPr>
          <w:rFonts w:ascii="Times New Roman" w:hAnsi="Times New Roman" w:cs="Times New Roman"/>
          <w:sz w:val="24"/>
          <w:szCs w:val="32"/>
        </w:rPr>
      </w:pPr>
      <w:r>
        <w:rPr>
          <w:rFonts w:ascii="Times New Roman" w:hAnsi="Times New Roman" w:cs="Times New Roman"/>
          <w:sz w:val="24"/>
          <w:szCs w:val="32"/>
        </w:rPr>
        <w:t>13、偏离表</w:t>
      </w:r>
    </w:p>
    <w:p w14:paraId="07DB8447">
      <w:pPr>
        <w:spacing w:line="400" w:lineRule="exact"/>
        <w:ind w:firstLine="480" w:firstLineChars="200"/>
        <w:rPr>
          <w:rFonts w:hint="eastAsia" w:eastAsiaTheme="minorEastAsia"/>
          <w:lang w:eastAsia="zh-CN"/>
        </w:rPr>
      </w:pPr>
      <w:r>
        <w:rPr>
          <w:rFonts w:ascii="Times New Roman" w:hAnsi="Times New Roman" w:cs="Times New Roman"/>
          <w:sz w:val="24"/>
          <w:szCs w:val="32"/>
        </w:rPr>
        <w:t>14、其他材料：包含但不限于</w:t>
      </w:r>
      <w:r>
        <w:rPr>
          <w:rFonts w:hint="eastAsia" w:ascii="Times New Roman" w:hAnsi="Times New Roman" w:cs="Times New Roman"/>
          <w:sz w:val="24"/>
          <w:szCs w:val="32"/>
        </w:rPr>
        <w:t>（</w:t>
      </w:r>
      <w:r>
        <w:rPr>
          <w:rFonts w:ascii="Times New Roman" w:hAnsi="Times New Roman" w:cs="Times New Roman"/>
          <w:sz w:val="24"/>
          <w:szCs w:val="32"/>
        </w:rPr>
        <w:t>1</w:t>
      </w:r>
      <w:r>
        <w:rPr>
          <w:rFonts w:hint="eastAsia" w:ascii="Times New Roman" w:hAnsi="Times New Roman" w:cs="Times New Roman"/>
          <w:sz w:val="24"/>
          <w:szCs w:val="32"/>
        </w:rPr>
        <w:t>）资格证明材料、</w:t>
      </w:r>
      <w:r>
        <w:rPr>
          <w:rFonts w:ascii="Times New Roman" w:hAnsi="Times New Roman" w:cs="Times New Roman"/>
          <w:sz w:val="24"/>
          <w:szCs w:val="32"/>
        </w:rPr>
        <w:t>（2）商务评分逐条证明材料、（3）技术评分逐条证明材料。格式自拟</w:t>
      </w:r>
    </w:p>
    <w:sectPr>
      <w:headerReference r:id="rId5" w:type="default"/>
      <w:pgSz w:w="11905" w:h="16838"/>
      <w:pgMar w:top="1418" w:right="1418" w:bottom="1418" w:left="1418" w:header="851" w:footer="992" w:gutter="0"/>
      <w:cols w:space="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294C2">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- 1 -</w:t>
    </w:r>
    <w:r>
      <w:fldChar w:fldCharType="end"/>
    </w:r>
  </w:p>
  <w:p w14:paraId="40C1BE6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8CEA">
    <w:pPr>
      <w:pStyle w:val="12"/>
      <w:framePr w:wrap="around" w:vAnchor="text" w:hAnchor="margin" w:xAlign="center" w:y="1"/>
      <w:rPr>
        <w:rStyle w:val="22"/>
      </w:rPr>
    </w:pPr>
  </w:p>
  <w:p w14:paraId="7682DB4D">
    <w:pPr>
      <w:pStyle w:val="12"/>
      <w:jc w:val="center"/>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76424">
    <w:pPr>
      <w:pStyle w:val="13"/>
      <w:pBdr>
        <w:bottom w:val="none" w:color="auto" w:sz="0" w:space="1"/>
      </w:pBdr>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582D9"/>
    <w:multiLevelType w:val="multilevel"/>
    <w:tmpl w:val="BCC582D9"/>
    <w:lvl w:ilvl="0" w:tentative="0">
      <w:start w:val="1"/>
      <w:numFmt w:val="decimal"/>
      <w:suff w:val="space"/>
      <w:lvlText w:val="%1"/>
      <w:lvlJc w:val="left"/>
      <w:pPr>
        <w:tabs>
          <w:tab w:val="left" w:pos="0"/>
        </w:tabs>
        <w:ind w:left="0" w:firstLine="0"/>
      </w:pPr>
      <w:rPr>
        <w:rFonts w:hint="default" w:ascii="Times New Roman" w:hAnsi="Times New Roman" w:eastAsia="黑体"/>
        <w:b/>
        <w:i w:val="0"/>
        <w:sz w:val="32"/>
      </w:rPr>
    </w:lvl>
    <w:lvl w:ilvl="1" w:tentative="0">
      <w:start w:val="1"/>
      <w:numFmt w:val="decimal"/>
      <w:suff w:val="space"/>
      <w:lvlText w:val="%1.%2"/>
      <w:lvlJc w:val="left"/>
      <w:pPr>
        <w:ind w:left="0" w:firstLine="0"/>
      </w:pPr>
      <w:rPr>
        <w:rFonts w:hint="default" w:ascii="Times New Roman" w:hAnsi="Times New Roman" w:eastAsia="黑体"/>
        <w:b/>
        <w:i w:val="0"/>
        <w:sz w:val="30"/>
      </w:rPr>
    </w:lvl>
    <w:lvl w:ilvl="2" w:tentative="0">
      <w:start w:val="1"/>
      <w:numFmt w:val="decimal"/>
      <w:pStyle w:val="54"/>
      <w:suff w:val="space"/>
      <w:lvlText w:val="%1.%2.%3"/>
      <w:lvlJc w:val="left"/>
      <w:pPr>
        <w:ind w:left="142" w:firstLine="0"/>
      </w:pPr>
      <w:rPr>
        <w:rFonts w:hint="default" w:ascii="Times New Roman" w:hAnsi="Times New Roman" w:eastAsia="黑体"/>
        <w:b/>
        <w:bCs w:val="0"/>
        <w:i w:val="0"/>
        <w:iCs w:val="0"/>
        <w:caps w:val="0"/>
        <w:smallCaps w:val="0"/>
        <w:strike w:val="0"/>
        <w:dstrike w:val="0"/>
        <w:color w:val="000000"/>
        <w:spacing w:val="0"/>
        <w:position w:val="0"/>
        <w:sz w:val="28"/>
        <w:u w:val="none"/>
      </w:rPr>
    </w:lvl>
    <w:lvl w:ilvl="3" w:tentative="0">
      <w:start w:val="1"/>
      <w:numFmt w:val="decimal"/>
      <w:suff w:val="space"/>
      <w:lvlText w:val="%1.%2.%3.%4"/>
      <w:lvlJc w:val="left"/>
      <w:pPr>
        <w:ind w:left="0" w:firstLine="0"/>
      </w:pPr>
      <w:rPr>
        <w:rFonts w:hint="default" w:ascii="Times New Roman" w:hAnsi="Times New Roman" w:eastAsia="黑体" w:cs="Times New Roman"/>
        <w:b/>
        <w:bCs w:val="0"/>
        <w:i w:val="0"/>
        <w:iCs w:val="0"/>
        <w:caps w:val="0"/>
        <w:smallCaps w:val="0"/>
        <w:strike w:val="0"/>
        <w:dstrike w:val="0"/>
        <w:color w:val="000000"/>
        <w:spacing w:val="0"/>
        <w:position w:val="0"/>
        <w:sz w:val="24"/>
        <w:u w:val="none"/>
      </w:rPr>
    </w:lvl>
    <w:lvl w:ilvl="4" w:tentative="0">
      <w:start w:val="1"/>
      <w:numFmt w:val="decimal"/>
      <w:lvlText w:val="%5%2."/>
      <w:lvlJc w:val="left"/>
      <w:pPr>
        <w:tabs>
          <w:tab w:val="left" w:pos="720"/>
        </w:tabs>
        <w:ind w:left="0" w:firstLine="0"/>
      </w:pPr>
      <w:rPr>
        <w:rFonts w:hint="eastAsia" w:ascii="Times New Roman" w:hAnsi="Times New Roman" w:cs="Times New Roman"/>
        <w:b w:val="0"/>
        <w:bCs w:val="0"/>
        <w:i w:val="0"/>
        <w:iCs w:val="0"/>
        <w:caps w:val="0"/>
        <w:smallCaps w:val="0"/>
        <w:strike w:val="0"/>
        <w:dstrike w:val="0"/>
        <w:color w:val="000000"/>
        <w:spacing w:val="0"/>
        <w:position w:val="0"/>
        <w:u w:val="none"/>
      </w:rPr>
    </w:lvl>
    <w:lvl w:ilvl="5" w:tentative="0">
      <w:start w:val="1"/>
      <w:numFmt w:val="decimal"/>
      <w:lvlText w:val="%1.%2.%3.%4.%5.%6"/>
      <w:lvlJc w:val="left"/>
      <w:pPr>
        <w:tabs>
          <w:tab w:val="left" w:pos="1152"/>
        </w:tabs>
        <w:ind w:left="0" w:firstLine="0"/>
      </w:pPr>
      <w:rPr>
        <w:rFonts w:hint="eastAsia"/>
      </w:rPr>
    </w:lvl>
    <w:lvl w:ilvl="6" w:tentative="0">
      <w:start w:val="1"/>
      <w:numFmt w:val="decimal"/>
      <w:lvlText w:val="%1.%2.%3.%4.%5.%6.%7"/>
      <w:lvlJc w:val="left"/>
      <w:pPr>
        <w:tabs>
          <w:tab w:val="left" w:pos="1296"/>
        </w:tabs>
        <w:ind w:left="0" w:firstLine="0"/>
      </w:pPr>
      <w:rPr>
        <w:rFonts w:hint="eastAsia"/>
      </w:rPr>
    </w:lvl>
    <w:lvl w:ilvl="7" w:tentative="0">
      <w:start w:val="1"/>
      <w:numFmt w:val="decimal"/>
      <w:lvlText w:val="%1.%2.%3.%4.%5.%6.%7.%8"/>
      <w:lvlJc w:val="left"/>
      <w:pPr>
        <w:tabs>
          <w:tab w:val="left" w:pos="1440"/>
        </w:tabs>
        <w:ind w:left="0" w:firstLine="0"/>
      </w:pPr>
      <w:rPr>
        <w:rFonts w:hint="eastAsia"/>
      </w:rPr>
    </w:lvl>
    <w:lvl w:ilvl="8" w:tentative="0">
      <w:start w:val="1"/>
      <w:numFmt w:val="decimal"/>
      <w:lvlText w:val="%1.%2.%3.%4.%5.%6.%7.%8.%9"/>
      <w:lvlJc w:val="left"/>
      <w:pPr>
        <w:tabs>
          <w:tab w:val="left" w:pos="1584"/>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210"/>
    <w:rsid w:val="00004912"/>
    <w:rsid w:val="0005426D"/>
    <w:rsid w:val="000C3155"/>
    <w:rsid w:val="00224BFE"/>
    <w:rsid w:val="00256B00"/>
    <w:rsid w:val="00290F53"/>
    <w:rsid w:val="0031475E"/>
    <w:rsid w:val="00316C6F"/>
    <w:rsid w:val="003D2874"/>
    <w:rsid w:val="003D35FC"/>
    <w:rsid w:val="003F25B9"/>
    <w:rsid w:val="003F2E76"/>
    <w:rsid w:val="006166EC"/>
    <w:rsid w:val="006839E0"/>
    <w:rsid w:val="006923E9"/>
    <w:rsid w:val="006E0041"/>
    <w:rsid w:val="006E2210"/>
    <w:rsid w:val="00746392"/>
    <w:rsid w:val="007913DD"/>
    <w:rsid w:val="007D2F17"/>
    <w:rsid w:val="00882243"/>
    <w:rsid w:val="00992726"/>
    <w:rsid w:val="009D3A4B"/>
    <w:rsid w:val="009D7B84"/>
    <w:rsid w:val="009E33E5"/>
    <w:rsid w:val="009F2801"/>
    <w:rsid w:val="00A506D3"/>
    <w:rsid w:val="00AD333B"/>
    <w:rsid w:val="00D449D2"/>
    <w:rsid w:val="00DE26ED"/>
    <w:rsid w:val="00E0576F"/>
    <w:rsid w:val="00EB14E9"/>
    <w:rsid w:val="00FC3A59"/>
    <w:rsid w:val="08D062B9"/>
    <w:rsid w:val="10806610"/>
    <w:rsid w:val="1C370219"/>
    <w:rsid w:val="4DB76E13"/>
    <w:rsid w:val="702E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rPr>
      <w:rFonts w:ascii="Calibri" w:hAnsi="Calibri" w:eastAsia="宋体" w:cs="Times New Roman"/>
    </w:rPr>
  </w:style>
  <w:style w:type="paragraph" w:styleId="7">
    <w:name w:val="annotation text"/>
    <w:basedOn w:val="1"/>
    <w:link w:val="46"/>
    <w:unhideWhenUsed/>
    <w:qFormat/>
    <w:uiPriority w:val="99"/>
    <w:pPr>
      <w:jc w:val="left"/>
    </w:pPr>
  </w:style>
  <w:style w:type="paragraph" w:styleId="8">
    <w:name w:val="Body Text"/>
    <w:basedOn w:val="1"/>
    <w:link w:val="47"/>
    <w:qFormat/>
    <w:uiPriority w:val="0"/>
    <w:pPr>
      <w:spacing w:after="120"/>
    </w:pPr>
  </w:style>
  <w:style w:type="paragraph" w:styleId="9">
    <w:name w:val="Body Text Indent"/>
    <w:basedOn w:val="1"/>
    <w:link w:val="48"/>
    <w:qFormat/>
    <w:uiPriority w:val="0"/>
    <w:pPr>
      <w:spacing w:after="120"/>
      <w:ind w:left="420" w:leftChars="200"/>
    </w:pPr>
  </w:style>
  <w:style w:type="paragraph" w:styleId="10">
    <w:name w:val="Plain Text"/>
    <w:basedOn w:val="1"/>
    <w:link w:val="49"/>
    <w:qFormat/>
    <w:uiPriority w:val="0"/>
    <w:rPr>
      <w:rFonts w:ascii="宋体" w:hAnsi="Courier New" w:cs="Courier New"/>
      <w:szCs w:val="21"/>
    </w:rPr>
  </w:style>
  <w:style w:type="paragraph" w:styleId="11">
    <w:name w:val="Balloon Text"/>
    <w:basedOn w:val="1"/>
    <w:link w:val="50"/>
    <w:qFormat/>
    <w:uiPriority w:val="0"/>
    <w:rPr>
      <w:sz w:val="18"/>
      <w:szCs w:val="18"/>
    </w:rPr>
  </w:style>
  <w:style w:type="paragraph" w:styleId="12">
    <w:name w:val="footer"/>
    <w:basedOn w:val="1"/>
    <w:link w:val="45"/>
    <w:unhideWhenUsed/>
    <w:qFormat/>
    <w:uiPriority w:val="0"/>
    <w:pPr>
      <w:tabs>
        <w:tab w:val="center" w:pos="4153"/>
        <w:tab w:val="right" w:pos="8306"/>
      </w:tabs>
      <w:snapToGrid w:val="0"/>
      <w:jc w:val="left"/>
    </w:pPr>
    <w:rPr>
      <w:sz w:val="18"/>
      <w:szCs w:val="18"/>
    </w:rPr>
  </w:style>
  <w:style w:type="paragraph" w:styleId="13">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styleId="15">
    <w:name w:val="annotation subject"/>
    <w:basedOn w:val="7"/>
    <w:next w:val="7"/>
    <w:link w:val="51"/>
    <w:qFormat/>
    <w:uiPriority w:val="0"/>
    <w:rPr>
      <w:b/>
      <w:bCs/>
    </w:rPr>
  </w:style>
  <w:style w:type="paragraph" w:styleId="16">
    <w:name w:val="Body Text First Indent"/>
    <w:basedOn w:val="8"/>
    <w:link w:val="52"/>
    <w:qFormat/>
    <w:uiPriority w:val="0"/>
    <w:pPr>
      <w:ind w:firstLine="420" w:firstLineChars="100"/>
    </w:pPr>
    <w:rPr>
      <w:rFonts w:ascii="Times New Roman" w:hAnsi="Times New Roman" w:eastAsia="宋体" w:cs="Times New Roman"/>
      <w:szCs w:val="24"/>
    </w:rPr>
  </w:style>
  <w:style w:type="paragraph" w:styleId="17">
    <w:name w:val="Body Text First Indent 2"/>
    <w:basedOn w:val="9"/>
    <w:link w:val="53"/>
    <w:qFormat/>
    <w:uiPriority w:val="0"/>
    <w:pPr>
      <w:ind w:firstLine="420" w:firstLineChars="200"/>
    </w:pPr>
  </w:style>
  <w:style w:type="table" w:styleId="19">
    <w:name w:val="Table Grid"/>
    <w:basedOn w:val="1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rFonts w:cs="Times New Roman"/>
      <w:b/>
    </w:rPr>
  </w:style>
  <w:style w:type="character" w:styleId="22">
    <w:name w:val="page number"/>
    <w:qFormat/>
    <w:uiPriority w:val="0"/>
  </w:style>
  <w:style w:type="character" w:styleId="23">
    <w:name w:val="annotation reference"/>
    <w:qFormat/>
    <w:uiPriority w:val="99"/>
    <w:rPr>
      <w:sz w:val="21"/>
      <w:szCs w:val="21"/>
    </w:rPr>
  </w:style>
  <w:style w:type="paragraph" w:customStyle="1" w:styleId="24">
    <w:name w:val="1-备注"/>
    <w:basedOn w:val="1"/>
    <w:next w:val="1"/>
    <w:link w:val="25"/>
    <w:qFormat/>
    <w:uiPriority w:val="0"/>
    <w:pPr>
      <w:widowControl/>
      <w:jc w:val="left"/>
    </w:pPr>
    <w:rPr>
      <w:rFonts w:ascii="Times New Roman" w:hAnsi="Times New Roman" w:eastAsia="宋体"/>
      <w:i/>
      <w:szCs w:val="24"/>
      <w:lang w:eastAsia="en-US" w:bidi="en-US"/>
    </w:rPr>
  </w:style>
  <w:style w:type="character" w:customStyle="1" w:styleId="25">
    <w:name w:val="1-备注 Char"/>
    <w:link w:val="24"/>
    <w:qFormat/>
    <w:uiPriority w:val="0"/>
    <w:rPr>
      <w:rFonts w:ascii="Times New Roman" w:hAnsi="Times New Roman" w:eastAsia="宋体"/>
      <w:i/>
      <w:szCs w:val="24"/>
      <w:lang w:eastAsia="en-US" w:bidi="en-US"/>
    </w:rPr>
  </w:style>
  <w:style w:type="paragraph" w:customStyle="1" w:styleId="26">
    <w:name w:val="1-标题1"/>
    <w:basedOn w:val="2"/>
    <w:link w:val="27"/>
    <w:qFormat/>
    <w:uiPriority w:val="0"/>
    <w:pPr>
      <w:tabs>
        <w:tab w:val="left" w:pos="1960"/>
      </w:tabs>
      <w:spacing w:before="0" w:after="0" w:line="360" w:lineRule="auto"/>
      <w:jc w:val="left"/>
    </w:pPr>
    <w:rPr>
      <w:rFonts w:ascii="Times New Roman" w:hAnsi="Times New Roman" w:eastAsia="黑体"/>
      <w:sz w:val="36"/>
    </w:rPr>
  </w:style>
  <w:style w:type="character" w:customStyle="1" w:styleId="27">
    <w:name w:val="1-标题1 Char"/>
    <w:basedOn w:val="28"/>
    <w:link w:val="26"/>
    <w:qFormat/>
    <w:uiPriority w:val="0"/>
    <w:rPr>
      <w:rFonts w:ascii="Times New Roman" w:hAnsi="Times New Roman" w:eastAsia="黑体"/>
      <w:kern w:val="44"/>
      <w:sz w:val="36"/>
      <w:szCs w:val="44"/>
    </w:rPr>
  </w:style>
  <w:style w:type="character" w:customStyle="1" w:styleId="28">
    <w:name w:val="标题 1 字符"/>
    <w:basedOn w:val="20"/>
    <w:link w:val="2"/>
    <w:qFormat/>
    <w:uiPriority w:val="0"/>
    <w:rPr>
      <w:b/>
      <w:bCs/>
      <w:kern w:val="44"/>
      <w:sz w:val="44"/>
      <w:szCs w:val="44"/>
    </w:rPr>
  </w:style>
  <w:style w:type="paragraph" w:customStyle="1" w:styleId="29">
    <w:name w:val="1-标题2"/>
    <w:basedOn w:val="3"/>
    <w:link w:val="30"/>
    <w:qFormat/>
    <w:uiPriority w:val="0"/>
    <w:pPr>
      <w:keepNext w:val="0"/>
      <w:keepLines w:val="0"/>
      <w:spacing w:before="0" w:after="0" w:line="360" w:lineRule="auto"/>
      <w:jc w:val="left"/>
    </w:pPr>
    <w:rPr>
      <w:rFonts w:ascii="Times New Roman" w:hAnsi="Times New Roman" w:eastAsia="黑体"/>
      <w:bCs w:val="0"/>
    </w:rPr>
  </w:style>
  <w:style w:type="character" w:customStyle="1" w:styleId="30">
    <w:name w:val="1-标题2 Char"/>
    <w:basedOn w:val="31"/>
    <w:link w:val="29"/>
    <w:qFormat/>
    <w:uiPriority w:val="0"/>
    <w:rPr>
      <w:rFonts w:ascii="Times New Roman" w:hAnsi="Times New Roman" w:eastAsia="黑体" w:cstheme="majorBidi"/>
      <w:bCs w:val="0"/>
      <w:sz w:val="32"/>
      <w:szCs w:val="32"/>
    </w:rPr>
  </w:style>
  <w:style w:type="character" w:customStyle="1" w:styleId="31">
    <w:name w:val="标题 2 字符"/>
    <w:basedOn w:val="20"/>
    <w:link w:val="3"/>
    <w:qFormat/>
    <w:uiPriority w:val="0"/>
    <w:rPr>
      <w:rFonts w:asciiTheme="majorHAnsi" w:hAnsiTheme="majorHAnsi" w:eastAsiaTheme="majorEastAsia" w:cstheme="majorBidi"/>
      <w:b/>
      <w:bCs/>
      <w:sz w:val="32"/>
      <w:szCs w:val="32"/>
    </w:rPr>
  </w:style>
  <w:style w:type="paragraph" w:customStyle="1" w:styleId="32">
    <w:name w:val="1-标题3"/>
    <w:basedOn w:val="4"/>
    <w:link w:val="33"/>
    <w:qFormat/>
    <w:uiPriority w:val="0"/>
    <w:pPr>
      <w:keepNext w:val="0"/>
      <w:keepLines w:val="0"/>
      <w:tabs>
        <w:tab w:val="left" w:pos="644"/>
      </w:tabs>
      <w:spacing w:before="0" w:after="0" w:line="360" w:lineRule="auto"/>
      <w:jc w:val="left"/>
    </w:pPr>
    <w:rPr>
      <w:rFonts w:ascii="Times New Roman" w:hAnsi="Times New Roman" w:eastAsia="黑体"/>
      <w:sz w:val="28"/>
      <w:szCs w:val="30"/>
    </w:rPr>
  </w:style>
  <w:style w:type="character" w:customStyle="1" w:styleId="33">
    <w:name w:val="1-标题3 Char"/>
    <w:basedOn w:val="34"/>
    <w:link w:val="32"/>
    <w:qFormat/>
    <w:uiPriority w:val="0"/>
    <w:rPr>
      <w:rFonts w:ascii="Times New Roman" w:hAnsi="Times New Roman" w:eastAsia="黑体"/>
      <w:sz w:val="28"/>
      <w:szCs w:val="30"/>
    </w:rPr>
  </w:style>
  <w:style w:type="character" w:customStyle="1" w:styleId="34">
    <w:name w:val="标题 3 字符"/>
    <w:basedOn w:val="20"/>
    <w:link w:val="4"/>
    <w:semiHidden/>
    <w:qFormat/>
    <w:uiPriority w:val="0"/>
    <w:rPr>
      <w:b/>
      <w:bCs/>
      <w:sz w:val="32"/>
      <w:szCs w:val="32"/>
    </w:rPr>
  </w:style>
  <w:style w:type="paragraph" w:customStyle="1" w:styleId="35">
    <w:name w:val="1-标题4"/>
    <w:basedOn w:val="5"/>
    <w:link w:val="36"/>
    <w:qFormat/>
    <w:uiPriority w:val="0"/>
    <w:pPr>
      <w:tabs>
        <w:tab w:val="left" w:pos="0"/>
        <w:tab w:val="left" w:pos="420"/>
      </w:tabs>
      <w:spacing w:before="0" w:after="0" w:line="360" w:lineRule="auto"/>
      <w:ind w:right="-105"/>
      <w:jc w:val="left"/>
    </w:pPr>
    <w:rPr>
      <w:rFonts w:ascii="Times New Roman" w:hAnsi="Times New Roman" w:eastAsia="宋体"/>
      <w:sz w:val="24"/>
    </w:rPr>
  </w:style>
  <w:style w:type="character" w:customStyle="1" w:styleId="36">
    <w:name w:val="1-标题4 Char"/>
    <w:basedOn w:val="37"/>
    <w:link w:val="35"/>
    <w:qFormat/>
    <w:uiPriority w:val="0"/>
    <w:rPr>
      <w:rFonts w:ascii="Times New Roman" w:hAnsi="Times New Roman" w:eastAsia="宋体" w:cstheme="majorBidi"/>
      <w:sz w:val="24"/>
      <w:szCs w:val="28"/>
    </w:rPr>
  </w:style>
  <w:style w:type="character" w:customStyle="1" w:styleId="37">
    <w:name w:val="标题 4 字符"/>
    <w:basedOn w:val="20"/>
    <w:link w:val="5"/>
    <w:semiHidden/>
    <w:qFormat/>
    <w:uiPriority w:val="9"/>
    <w:rPr>
      <w:rFonts w:asciiTheme="majorHAnsi" w:hAnsiTheme="majorHAnsi" w:eastAsiaTheme="majorEastAsia" w:cstheme="majorBidi"/>
      <w:b/>
      <w:bCs/>
      <w:sz w:val="28"/>
      <w:szCs w:val="28"/>
    </w:rPr>
  </w:style>
  <w:style w:type="paragraph" w:customStyle="1" w:styleId="38">
    <w:name w:val="1-表（图）头"/>
    <w:basedOn w:val="1"/>
    <w:link w:val="39"/>
    <w:qFormat/>
    <w:uiPriority w:val="0"/>
    <w:pPr>
      <w:adjustRightInd w:val="0"/>
      <w:jc w:val="center"/>
      <w:outlineLvl w:val="4"/>
    </w:pPr>
    <w:rPr>
      <w:rFonts w:ascii="Times New Roman" w:hAnsi="Times New Roman" w:eastAsia="黑体"/>
      <w:b/>
      <w:sz w:val="24"/>
    </w:rPr>
  </w:style>
  <w:style w:type="character" w:customStyle="1" w:styleId="39">
    <w:name w:val="1-表（图）头 Char"/>
    <w:link w:val="38"/>
    <w:qFormat/>
    <w:uiPriority w:val="0"/>
    <w:rPr>
      <w:rFonts w:ascii="Times New Roman" w:hAnsi="Times New Roman" w:eastAsia="黑体"/>
      <w:b/>
      <w:sz w:val="24"/>
    </w:rPr>
  </w:style>
  <w:style w:type="paragraph" w:customStyle="1" w:styleId="40">
    <w:name w:val="1-表格内文字"/>
    <w:basedOn w:val="1"/>
    <w:link w:val="41"/>
    <w:qFormat/>
    <w:uiPriority w:val="0"/>
    <w:pPr>
      <w:tabs>
        <w:tab w:val="left" w:pos="0"/>
      </w:tabs>
      <w:adjustRightInd w:val="0"/>
      <w:snapToGrid w:val="0"/>
      <w:jc w:val="center"/>
    </w:pPr>
    <w:rPr>
      <w:rFonts w:ascii="Times New Roman" w:hAnsi="Times New Roman" w:eastAsia="宋体"/>
      <w:snapToGrid w:val="0"/>
      <w:szCs w:val="21"/>
    </w:rPr>
  </w:style>
  <w:style w:type="character" w:customStyle="1" w:styleId="41">
    <w:name w:val="1-表格内文字 Char"/>
    <w:link w:val="40"/>
    <w:qFormat/>
    <w:uiPriority w:val="0"/>
    <w:rPr>
      <w:rFonts w:ascii="Times New Roman" w:hAnsi="Times New Roman" w:eastAsia="宋体"/>
      <w:snapToGrid w:val="0"/>
      <w:szCs w:val="21"/>
    </w:rPr>
  </w:style>
  <w:style w:type="paragraph" w:customStyle="1" w:styleId="42">
    <w:name w:val="1-正文"/>
    <w:basedOn w:val="1"/>
    <w:link w:val="43"/>
    <w:qFormat/>
    <w:uiPriority w:val="0"/>
    <w:pPr>
      <w:spacing w:line="360" w:lineRule="auto"/>
      <w:ind w:firstLine="200" w:firstLineChars="200"/>
    </w:pPr>
    <w:rPr>
      <w:rFonts w:ascii="Times New Roman" w:hAnsi="Times New Roman" w:eastAsia="宋体"/>
      <w:sz w:val="24"/>
      <w:szCs w:val="24"/>
    </w:rPr>
  </w:style>
  <w:style w:type="character" w:customStyle="1" w:styleId="43">
    <w:name w:val="1-正文 Char"/>
    <w:link w:val="42"/>
    <w:qFormat/>
    <w:uiPriority w:val="0"/>
    <w:rPr>
      <w:rFonts w:ascii="Times New Roman" w:hAnsi="Times New Roman" w:eastAsia="宋体"/>
      <w:sz w:val="24"/>
      <w:szCs w:val="24"/>
    </w:rPr>
  </w:style>
  <w:style w:type="character" w:customStyle="1" w:styleId="44">
    <w:name w:val="页眉 字符"/>
    <w:basedOn w:val="20"/>
    <w:link w:val="13"/>
    <w:qFormat/>
    <w:uiPriority w:val="0"/>
    <w:rPr>
      <w:sz w:val="18"/>
      <w:szCs w:val="18"/>
    </w:rPr>
  </w:style>
  <w:style w:type="character" w:customStyle="1" w:styleId="45">
    <w:name w:val="页脚 字符"/>
    <w:basedOn w:val="20"/>
    <w:link w:val="12"/>
    <w:qFormat/>
    <w:uiPriority w:val="0"/>
    <w:rPr>
      <w:sz w:val="18"/>
      <w:szCs w:val="18"/>
    </w:rPr>
  </w:style>
  <w:style w:type="character" w:customStyle="1" w:styleId="46">
    <w:name w:val="批注文字 字符"/>
    <w:basedOn w:val="20"/>
    <w:link w:val="7"/>
    <w:qFormat/>
    <w:uiPriority w:val="99"/>
  </w:style>
  <w:style w:type="character" w:customStyle="1" w:styleId="47">
    <w:name w:val="正文文本 字符"/>
    <w:basedOn w:val="20"/>
    <w:link w:val="8"/>
    <w:qFormat/>
    <w:uiPriority w:val="0"/>
  </w:style>
  <w:style w:type="character" w:customStyle="1" w:styleId="48">
    <w:name w:val="正文文本缩进 字符"/>
    <w:basedOn w:val="20"/>
    <w:link w:val="9"/>
    <w:qFormat/>
    <w:uiPriority w:val="0"/>
  </w:style>
  <w:style w:type="character" w:customStyle="1" w:styleId="49">
    <w:name w:val="纯文本 字符"/>
    <w:basedOn w:val="20"/>
    <w:link w:val="10"/>
    <w:qFormat/>
    <w:uiPriority w:val="0"/>
    <w:rPr>
      <w:rFonts w:ascii="宋体" w:hAnsi="Courier New" w:cs="Courier New"/>
      <w:szCs w:val="21"/>
    </w:rPr>
  </w:style>
  <w:style w:type="character" w:customStyle="1" w:styleId="50">
    <w:name w:val="批注框文本 字符"/>
    <w:basedOn w:val="20"/>
    <w:link w:val="11"/>
    <w:qFormat/>
    <w:uiPriority w:val="0"/>
    <w:rPr>
      <w:sz w:val="18"/>
      <w:szCs w:val="18"/>
    </w:rPr>
  </w:style>
  <w:style w:type="character" w:customStyle="1" w:styleId="51">
    <w:name w:val="批注主题 字符"/>
    <w:basedOn w:val="46"/>
    <w:link w:val="15"/>
    <w:qFormat/>
    <w:uiPriority w:val="0"/>
    <w:rPr>
      <w:b/>
      <w:bCs/>
    </w:rPr>
  </w:style>
  <w:style w:type="character" w:customStyle="1" w:styleId="52">
    <w:name w:val="正文文本首行缩进 字符"/>
    <w:basedOn w:val="47"/>
    <w:link w:val="16"/>
    <w:qFormat/>
    <w:uiPriority w:val="0"/>
    <w:rPr>
      <w:rFonts w:ascii="Times New Roman" w:hAnsi="Times New Roman" w:eastAsia="宋体" w:cs="Times New Roman"/>
      <w:szCs w:val="24"/>
    </w:rPr>
  </w:style>
  <w:style w:type="character" w:customStyle="1" w:styleId="53">
    <w:name w:val="正文文本首行缩进 2 字符"/>
    <w:basedOn w:val="48"/>
    <w:link w:val="17"/>
    <w:qFormat/>
    <w:uiPriority w:val="0"/>
  </w:style>
  <w:style w:type="paragraph" w:customStyle="1" w:styleId="54">
    <w:name w:val="金皇-标题3"/>
    <w:basedOn w:val="4"/>
    <w:qFormat/>
    <w:uiPriority w:val="0"/>
    <w:pPr>
      <w:numPr>
        <w:ilvl w:val="2"/>
        <w:numId w:val="1"/>
      </w:numPr>
      <w:tabs>
        <w:tab w:val="left" w:pos="0"/>
        <w:tab w:val="left" w:pos="644"/>
        <w:tab w:val="left" w:pos="1960"/>
      </w:tabs>
      <w:adjustRightInd w:val="0"/>
      <w:spacing w:line="413" w:lineRule="auto"/>
      <w:ind w:left="0"/>
    </w:pPr>
    <w:rPr>
      <w:rFonts w:ascii="Times New Roman" w:hAnsi="Times New Roman" w:eastAsia="黑体"/>
      <w:bCs w:val="0"/>
      <w:sz w:val="28"/>
      <w:szCs w:val="30"/>
    </w:rPr>
  </w:style>
  <w:style w:type="paragraph" w:customStyle="1" w:styleId="55">
    <w:name w:val="金皇-正文"/>
    <w:basedOn w:val="1"/>
    <w:qFormat/>
    <w:uiPriority w:val="0"/>
    <w:pPr>
      <w:spacing w:line="360" w:lineRule="auto"/>
      <w:ind w:firstLine="200" w:firstLineChars="200"/>
    </w:pPr>
    <w:rPr>
      <w:rFonts w:ascii="Times New Roman" w:hAnsi="Times New Roman" w:eastAsia="宋体"/>
      <w:sz w:val="24"/>
      <w:szCs w:val="24"/>
    </w:rPr>
  </w:style>
  <w:style w:type="paragraph" w:customStyle="1" w:styleId="56">
    <w:name w:val="金皇-表格内文字"/>
    <w:basedOn w:val="1"/>
    <w:qFormat/>
    <w:uiPriority w:val="0"/>
    <w:pPr>
      <w:tabs>
        <w:tab w:val="left" w:pos="0"/>
      </w:tabs>
      <w:adjustRightInd w:val="0"/>
      <w:snapToGrid w:val="0"/>
      <w:jc w:val="center"/>
    </w:pPr>
    <w:rPr>
      <w:rFonts w:ascii="Times New Roman" w:hAnsi="Times New Roman"/>
      <w:snapToGrid w:val="0"/>
      <w:szCs w:val="21"/>
    </w:rPr>
  </w:style>
  <w:style w:type="paragraph" w:customStyle="1" w:styleId="57">
    <w:name w:val="金皇-表（图）头"/>
    <w:basedOn w:val="1"/>
    <w:next w:val="1"/>
    <w:qFormat/>
    <w:uiPriority w:val="0"/>
    <w:pPr>
      <w:adjustRightInd w:val="0"/>
      <w:jc w:val="center"/>
      <w:outlineLvl w:val="4"/>
    </w:pPr>
    <w:rPr>
      <w:rFonts w:ascii="Times New Roman" w:hAnsi="Times New Roman" w:eastAsia="黑体"/>
      <w:b/>
      <w:sz w:val="24"/>
    </w:rPr>
  </w:style>
  <w:style w:type="paragraph" w:customStyle="1" w:styleId="58">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59">
    <w:name w:val="No Spacing_ad81b47b-6779-4c76-b471-79375858c8cb"/>
    <w:basedOn w:val="1"/>
    <w:qFormat/>
    <w:uiPriority w:val="99"/>
    <w:pPr>
      <w:ind w:firstLine="200" w:firstLineChars="200"/>
    </w:pPr>
  </w:style>
  <w:style w:type="paragraph" w:customStyle="1" w:styleId="60">
    <w:name w:val="正文实打实"/>
    <w:basedOn w:val="1"/>
    <w:qFormat/>
    <w:uiPriority w:val="0"/>
    <w:pPr>
      <w:ind w:firstLine="640" w:firstLineChars="200"/>
    </w:pPr>
    <w:rPr>
      <w:rFonts w:ascii="Times New Roman" w:hAnsi="Times New Roman" w:eastAsia="方正仿宋_GB2312" w:cs="Times New Roman"/>
      <w:sz w:val="32"/>
      <w:szCs w:val="32"/>
    </w:rPr>
  </w:style>
  <w:style w:type="table" w:customStyle="1" w:styleId="61">
    <w:name w:val="网格型3"/>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
    <w:name w:val="正文_0_4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_10_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64">
    <w:name w:val="网格型2"/>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6"/>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7"/>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8"/>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10"/>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0">
    <w:name w:val="null3"/>
    <w:qFormat/>
    <w:uiPriority w:val="0"/>
    <w:rPr>
      <w:rFonts w:hint="eastAsia" w:ascii="Calibri" w:hAnsi="Calibri" w:eastAsia="宋体" w:cs="Times New Roman"/>
      <w:lang w:val="en-US" w:eastAsia="zh-Hans" w:bidi="ar-SA"/>
    </w:rPr>
  </w:style>
  <w:style w:type="table" w:customStyle="1" w:styleId="71">
    <w:name w:val="Table Normal"/>
    <w:semiHidden/>
    <w:unhideWhenUsed/>
    <w:qFormat/>
    <w:uiPriority w:val="2"/>
    <w:rPr>
      <w:rFonts w:ascii="Arial" w:hAnsi="Arial" w:eastAsia="宋体" w:cs="Arial"/>
    </w:rPr>
    <w:tblPr>
      <w:tblCellMar>
        <w:top w:w="0" w:type="dxa"/>
        <w:left w:w="0" w:type="dxa"/>
        <w:bottom w:w="0" w:type="dxa"/>
        <w:right w:w="0" w:type="dxa"/>
      </w:tblCellMar>
    </w:tblPr>
  </w:style>
  <w:style w:type="paragraph" w:customStyle="1" w:styleId="72">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paragraph" w:styleId="73">
    <w:name w:val="List Paragraph"/>
    <w:basedOn w:val="1"/>
    <w:qFormat/>
    <w:uiPriority w:val="99"/>
    <w:pPr>
      <w:spacing w:before="161"/>
      <w:ind w:left="260" w:firstLine="479"/>
    </w:pPr>
  </w:style>
  <w:style w:type="paragraph" w:customStyle="1" w:styleId="74">
    <w:name w:val="表（图）头"/>
    <w:qFormat/>
    <w:uiPriority w:val="0"/>
    <w:pPr>
      <w:widowControl w:val="0"/>
      <w:adjustRightInd w:val="0"/>
      <w:jc w:val="center"/>
      <w:outlineLvl w:val="4"/>
    </w:pPr>
    <w:rPr>
      <w:rFonts w:ascii="Times New Roman" w:hAnsi="宋体" w:eastAsia="黑体" w:cs="Times New Roman"/>
      <w:b/>
      <w:kern w:val="2"/>
      <w:sz w:val="24"/>
      <w:lang w:val="en-US" w:eastAsia="zh-CN" w:bidi="ar-SA"/>
    </w:rPr>
  </w:style>
  <w:style w:type="paragraph" w:customStyle="1" w:styleId="75">
    <w:name w:val="Table Paragraph"/>
    <w:basedOn w:val="1"/>
    <w:qFormat/>
    <w:uiPriority w:val="1"/>
    <w:pPr>
      <w:autoSpaceDE w:val="0"/>
      <w:autoSpaceDN w:val="0"/>
      <w:jc w:val="left"/>
    </w:pPr>
    <w:rPr>
      <w:rFonts w:ascii="仿宋" w:hAnsi="仿宋" w:eastAsia="仿宋" w:cs="仿宋"/>
      <w:kern w:val="0"/>
      <w:sz w:val="22"/>
    </w:rPr>
  </w:style>
  <w:style w:type="paragraph" w:customStyle="1" w:styleId="76">
    <w:name w:val="5文章正文"/>
    <w:basedOn w:val="1"/>
    <w:link w:val="77"/>
    <w:qFormat/>
    <w:uiPriority w:val="0"/>
    <w:pPr>
      <w:spacing w:line="360" w:lineRule="auto"/>
      <w:ind w:firstLine="200" w:firstLineChars="200"/>
    </w:pPr>
    <w:rPr>
      <w:rFonts w:ascii="Times New Roman" w:hAnsi="Times New Roman" w:eastAsia="宋体"/>
      <w:sz w:val="24"/>
      <w:szCs w:val="24"/>
      <w14:ligatures w14:val="standardContextual"/>
    </w:rPr>
  </w:style>
  <w:style w:type="character" w:customStyle="1" w:styleId="77">
    <w:name w:val="5文章正文 字符"/>
    <w:link w:val="76"/>
    <w:qFormat/>
    <w:uiPriority w:val="0"/>
    <w:rPr>
      <w:rFonts w:ascii="Times New Roman" w:hAnsi="Times New Roman" w:eastAsia="宋体"/>
      <w:sz w:val="24"/>
      <w:szCs w:val="24"/>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2008</Words>
  <Characters>2162</Characters>
  <Lines>27</Lines>
  <Paragraphs>7</Paragraphs>
  <TotalTime>0</TotalTime>
  <ScaleCrop>false</ScaleCrop>
  <LinksUpToDate>false</LinksUpToDate>
  <CharactersWithSpaces>2202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2026-02-03T02:51:00Z</dcterms:created>
  <dc:creator>1</dc:creator>
  <cp:lastModifiedBy>lulululu</cp:lastModifiedBy>
  <dcterms:modified xsi:type="dcterms:W3CDTF">2026-02-05T07:44:06Z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eyJoZGlkIjoiYTQ1YTFkNGE0ZmVlYjI1NDA2NjcyZTRlODExMDFhN2YiLCJ1c2VySWQiOiI2NzI2NjExODEifQ==</vt:lpwstr>
  </property>
  <property fmtid="{D5CDD505-2E9C-101B-9397-08002B2CF9AE}" pid="3" name="KSOProductBuildVer">
    <vt:lpwstr>2052-12.1.0.25225</vt:lpwstr>
  </property>
  <property fmtid="{D5CDD505-2E9C-101B-9397-08002B2CF9AE}" pid="4" name="ICV">
    <vt:lpwstr>3EA04D57A68E49448E4680858755F870_12</vt:lpwstr>
  </property>
</Properties>
</file>